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583f" w14:textId="5675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10 қазандағы № 178 бұйрығы. Қазақстан Республикасының Әділет министрлігінде 2024 жылғы 10 қазанда № 35246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"Казино қызметімен айналысу үшін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"Казино қызметімен айналысу үшін лицензия беру"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w:t>
            </w:r>
          </w:p>
          <w:p>
            <w:pPr>
              <w:spacing w:after="20"/>
              <w:ind w:left="20"/>
              <w:jc w:val="both"/>
            </w:pPr>
            <w:r>
              <w:rPr>
                <w:rFonts w:ascii="Times New Roman"/>
                <w:b w:val="false"/>
                <w:i w:val="false"/>
                <w:color w:val="000000"/>
                <w:sz w:val="20"/>
              </w:rPr>
              <w:t>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реттік нөмірі 8-жол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Көрсетілетін қызметті беруші заңды тұлғаны мемлекеттік тіркеу (қайта тіркеу) туралы мәліметтерді тиісті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үш жұлдыздан төмен емес санаттағы қонақ үй кешенінде меншік құқығында немесе өзге де заңды негізде ғимараттың (ғимараттың, құрылыстың, ғимараттың бір бөлігінің) болуы туралы мәліметтер (www. eli cens e. kz ақпараттық жүйесінде деректер болмаған жағдайда растайтын құжаттарды ұсыну: үш жұлдыздан төмен емес санаттағы қонақ үй кешенін аккредиттеу туралы куәлік немесе сертификат);</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6)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20"/>
              <w:ind w:left="20"/>
              <w:jc w:val="both"/>
            </w:pPr>
            <w:r>
              <w:rPr>
                <w:rFonts w:ascii="Times New Roman"/>
                <w:b w:val="false"/>
                <w:i w:val="false"/>
                <w:color w:val="000000"/>
                <w:sz w:val="20"/>
              </w:rPr>
              <w:t xml:space="preserve">
7)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 бекітілетін ойын мекемесі жұмысының, мөлшерлемелерді қабылдаудың және өткізілетін құмар ойындардың және (немесе) бәс тігудің қазақ және орыс тілдеріндегі үлгілік қағидаларына сәйкес ойын мекемесі жұмысының ережелері;</w:t>
            </w:r>
          </w:p>
          <w:p>
            <w:pPr>
              <w:spacing w:after="20"/>
              <w:ind w:left="20"/>
              <w:jc w:val="both"/>
            </w:pPr>
            <w:r>
              <w:rPr>
                <w:rFonts w:ascii="Times New Roman"/>
                <w:b w:val="false"/>
                <w:i w:val="false"/>
                <w:color w:val="000000"/>
                <w:sz w:val="20"/>
              </w:rPr>
              <w:t>
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"Ойын автоматтары залы қызметімен айналысу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"Ойын автоматтары залы қызметімен айналысу лицензия беру"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Start w:name="z14" w:id="3"/>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реттік нөмірі 6-жолдағы орыс тіліндегі мәтінге өзгеріс енгізілді, мемлекеттік тіліндегі мәтін өзгермейді:</w:t>
      </w:r>
    </w:p>
    <w:bookmarkEnd w:id="4"/>
    <w:bookmarkStart w:name="z16" w:id="5"/>
    <w:p>
      <w:pPr>
        <w:spacing w:after="0"/>
        <w:ind w:left="0"/>
        <w:jc w:val="both"/>
      </w:pPr>
      <w:r>
        <w:rPr>
          <w:rFonts w:ascii="Times New Roman"/>
          <w:b w:val="false"/>
          <w:i w:val="false"/>
          <w:color w:val="000000"/>
          <w:sz w:val="28"/>
        </w:rPr>
        <w:t>
      реттік нөмірі 8-жол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үш жұлдыздан төмен емес санаттағы қонақ үй кешенінде меншік құқығында немесе өзге де заңды негізде ғимараттың (ғимараттың, құрылыстың, ғимараттың бір бөлігінің) болуы туралы мәліметтер (www. eli cens e. kz ақпараттық жүйесінде деректер болмаған жағдайда растайтын құжаттарды ұсыну: үш жұлдыздан төмен емес санаттағы қонақ үй кешенін аккредиттеу туралы куәлік немесе сертификат);</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6)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20"/>
              <w:ind w:left="20"/>
              <w:jc w:val="both"/>
            </w:pPr>
            <w:r>
              <w:rPr>
                <w:rFonts w:ascii="Times New Roman"/>
                <w:b w:val="false"/>
                <w:i w:val="false"/>
                <w:color w:val="000000"/>
                <w:sz w:val="20"/>
              </w:rPr>
              <w:t xml:space="preserve">
7)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 бекітілетін ойын мекемесі жұмысының, мөлшерлемелерді қабылдаудың және өткізілетін құмар ойындардың және (немесе) бәс тігудің қазақ және орыс тілдеріндегі үлгілік қағидаларына сәйкес ойын мекемесі жұмысының ережелері;</w:t>
            </w:r>
          </w:p>
          <w:p>
            <w:pPr>
              <w:spacing w:after="20"/>
              <w:ind w:left="20"/>
              <w:jc w:val="both"/>
            </w:pPr>
            <w:r>
              <w:rPr>
                <w:rFonts w:ascii="Times New Roman"/>
                <w:b w:val="false"/>
                <w:i w:val="false"/>
                <w:color w:val="000000"/>
                <w:sz w:val="20"/>
              </w:rPr>
              <w:t>
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"Букмекер кеңсесі қызметімен айналысу үшін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"Букмекер кеңсесі қызметімен айналысу үшін лицензия беру"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Start w:name="z22" w:id="6"/>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реттік нөмірі 8-жол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ғимараттың (ғимараттың, құрылыстың, ғимараттың бір бөлігінің) болуы туралы мәліметтер (растайтын құжаттарды ұсына отырып);</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xml:space="preserve">
6)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саласындағы бекітілетін букмекерлік кеңсенің жұмысының мөлшерлемелер мен өткізілетін құмар ойындарды қабылдаудың және (немесе) бәс тігудің қазақ және орыс тілдеріндегі үлгілік қадиғаларына сәйкес ойын мекемесі жұмысының, мөлшерлемелерді қабылдаудың және өткізілетін құмар ойындарының және (немесе) бәс тігудің қағидалары;</w:t>
            </w:r>
          </w:p>
          <w:p>
            <w:pPr>
              <w:spacing w:after="20"/>
              <w:ind w:left="20"/>
              <w:jc w:val="both"/>
            </w:pPr>
            <w:r>
              <w:rPr>
                <w:rFonts w:ascii="Times New Roman"/>
                <w:b w:val="false"/>
                <w:i w:val="false"/>
                <w:color w:val="000000"/>
                <w:sz w:val="20"/>
              </w:rPr>
              <w:t>
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40000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"Тотализатор қызметімен айналысу үшін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"Тотализатор қызметімен айналысу үшін лицензия беру"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Start w:name="z29" w:id="8"/>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реттік нөмірі 8-жол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ғимараттың (ғимараттың, құрылыстың, ғимараттың бір бөлігінің) болуы туралы мәліметтер (растайтын құжаттарды ұсына отырып);</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xml:space="preserve">
6)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саласындағы уәкілетті органмен бекітілетін тотализатордың жұмысының мөлшерлемелер мен өткізілетін құмар ойындарды қабылдаудың және (немесе) бәс тігудің қазақ және орыс тілдеріндегі үлгілік қадиғаларына сәйкес ойын мекемесі жұмысының, ставкаларды қабылдаудың және өткізілетін құмар ойындарының және (немесе) бәс тігудің қағидалары;</w:t>
            </w:r>
          </w:p>
          <w:p>
            <w:pPr>
              <w:spacing w:after="20"/>
              <w:ind w:left="20"/>
              <w:jc w:val="both"/>
            </w:pPr>
            <w:r>
              <w:rPr>
                <w:rFonts w:ascii="Times New Roman"/>
                <w:b w:val="false"/>
                <w:i w:val="false"/>
                <w:color w:val="000000"/>
                <w:sz w:val="20"/>
              </w:rPr>
              <w:t>
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10000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Start w:name="z32" w:id="10"/>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заңнамамен белгіленген тәртіппен:</w:t>
      </w:r>
    </w:p>
    <w:bookmarkEnd w:id="10"/>
    <w:bookmarkStart w:name="z33"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34" w:id="12"/>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w:t>
      </w:r>
    </w:p>
    <w:bookmarkEnd w:id="12"/>
    <w:bookmarkStart w:name="z35" w:id="13"/>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13"/>
    <w:bookmarkStart w:name="z3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министрдің орынбасарына жүктелсін.</w:t>
      </w:r>
    </w:p>
    <w:bookmarkEnd w:id="14"/>
    <w:bookmarkStart w:name="z3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2024 жылғы 10 қазандағы</w:t>
            </w:r>
            <w:r>
              <w:br/>
            </w:r>
            <w:r>
              <w:rPr>
                <w:rFonts w:ascii="Times New Roman"/>
                <w:b w:val="false"/>
                <w:i w:val="false"/>
                <w:color w:val="000000"/>
                <w:sz w:val="20"/>
              </w:rPr>
              <w:t xml:space="preserve">№ 178 Қағидаларға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"Казино қызметімен айналысу </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16"/>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үш жұлдыздан кем емес санаттағы қонақүй кешенінде меншік құқығындағы немесе өзге заңды негізіндегі казино қызметі жүзеге асыралатын, ғимараттың (ғимараттың, құрылыстың, ғимараттың бір бөлігінің) болуы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2024 жылғы 10 қазандағы</w:t>
            </w:r>
            <w:r>
              <w:br/>
            </w:r>
            <w:r>
              <w:rPr>
                <w:rFonts w:ascii="Times New Roman"/>
                <w:b w:val="false"/>
                <w:i w:val="false"/>
                <w:color w:val="000000"/>
                <w:sz w:val="20"/>
              </w:rPr>
              <w:t xml:space="preserve">№ 178 Қағидаларға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17"/>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үш жұлдыздан кем емес санаттағы қонақүй кешенінде меншік құқығындағы немесе өзге заңды негізіндегі казино қызметі жүзеге асыралатын, ғимараттың (ғимараттың, құрылыстың, ғимараттың бір бөлігінің) болуы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2024 жылғы 10 қазандағы</w:t>
            </w:r>
            <w:r>
              <w:br/>
            </w:r>
            <w:r>
              <w:rPr>
                <w:rFonts w:ascii="Times New Roman"/>
                <w:b w:val="false"/>
                <w:i w:val="false"/>
                <w:color w:val="000000"/>
                <w:sz w:val="20"/>
              </w:rPr>
              <w:t xml:space="preserve">№ 178 Қағидаларға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18"/>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ғимараттың (ғимараттың, құрылыстың, ғимараттың бір бөлігінің) болуы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2024 жылғы 10 қазандағы</w:t>
            </w:r>
            <w:r>
              <w:br/>
            </w:r>
            <w:r>
              <w:rPr>
                <w:rFonts w:ascii="Times New Roman"/>
                <w:b w:val="false"/>
                <w:i w:val="false"/>
                <w:color w:val="000000"/>
                <w:sz w:val="20"/>
              </w:rPr>
              <w:t xml:space="preserve">№ 178 Қағидаларға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19"/>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ғимараттың (ғимараттың, құрылыстың, ғимараттың бір бөлігінің) болуы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