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73ec" w14:textId="88a73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тұлғалардың ерекше қорғалатын табиғи аумақтарда болу ережесін бекіту туралы" Қазақстан Республикасының Ауыл шаруашылығы министрінің міндетін атқарушының 2010 жылғы 1 қыркүйектегі № 555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30 қыркүйектегі № 229 бұйрығы. Қазақстан Республикасының Әділет министрлігінде 2024 жылғы 30 қыркүйекте № 35171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"Жеке тұлғалардың ерекше қорғалатын табиғи аумақтарда болу ережесін бекіту туралы" Қазақстан Республикасының Ауыл шаруашылығы министрінің міндетін атқарушының 2010 жылғы 1 қыркүйектегі №555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№6530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 тұлғалардың ерекше қорғалатын табиғи аумақтарда болу </w:t>
      </w:r>
      <w:r>
        <w:rPr>
          <w:rFonts w:ascii="Times New Roman"/>
          <w:b w:val="false"/>
          <w:i w:val="false"/>
          <w:color w:val="000000"/>
          <w:sz w:val="28"/>
        </w:rPr>
        <w:t>ережесіне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Жеке тұлғалардың ерекше қорғалатын табиғи аумақтарда болу ережесі (бұдан әрі – Ереже) "Ерекше қорғалатын табиғи аумақтар туралы" Қазақстан Республикасы Заңының (бұдан әрі – Заң) 8-бабының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әзірленді және жеке тұлғалардың ерекше қорғалатын табиғи аумақтарда ғылыми, экологиялық-ағарту, туристік, рекреациялық және шектеулі шаруашылық мақсаттарда болу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Табиғат қорғау мекемесінде болу";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"7. Келушіде табиғат қорғау мекемесі ұсынатын қызметтерге ақы төлегені туралы растайтын құжаттың болуы ЕҚТА аумағына келуге негіз болып табылады. Зейнеткерлерден, мүгедектігі бар адамдардан, Ұлы Отан соғысының ардагерлерінен, басқа мемлекеттердің аумағындағы ұрыс қимылдарының ардагерлерінен, жеңілдіктер бойынша Ұлы Отан соғысының ардагерлеріне теңестірілген ардагерлерден, еңбек ардагерлерінен, мектеп жасына дейінгі балалардан көрсетілетін қызметтерге ақы төлеу туралы растайтын құжатты ұсыну талап етілмейді.</w:t>
      </w:r>
    </w:p>
    <w:bookmarkEnd w:id="5"/>
    <w:bookmarkStart w:name="z10" w:id="6"/>
    <w:p>
      <w:pPr>
        <w:spacing w:after="0"/>
        <w:ind w:left="0"/>
        <w:jc w:val="both"/>
      </w:pPr>
      <w:r>
        <w:rPr>
          <w:rFonts w:ascii="Times New Roman"/>
          <w:b w:val="false"/>
          <w:i w:val="false"/>
          <w:color w:val="000000"/>
          <w:sz w:val="28"/>
        </w:rPr>
        <w:t>
      Қызметтерге ақы төлегені туралы растайтын құжат (қағаз және электронды түрде) келушінің болу мерзімінің соңына дейін сақталуы тиіс.";</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3" w:id="7"/>
    <w:p>
      <w:pPr>
        <w:spacing w:after="0"/>
        <w:ind w:left="0"/>
        <w:jc w:val="both"/>
      </w:pPr>
      <w:r>
        <w:rPr>
          <w:rFonts w:ascii="Times New Roman"/>
          <w:b w:val="false"/>
          <w:i w:val="false"/>
          <w:color w:val="000000"/>
          <w:sz w:val="28"/>
        </w:rPr>
        <w:t>
      "3-тарау. Табиғат қорғау кәсіпорнының аумағында болу";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Заңды тұлға мәртебесі жоқ ерекше қорғалатын табиғи аумақта болу".</w:t>
      </w:r>
    </w:p>
    <w:bookmarkStart w:name="z15" w:id="8"/>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8"/>
    <w:bookmarkStart w:name="z16"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7" w:id="1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 қамтамасыз етсін.</w:t>
      </w:r>
    </w:p>
    <w:bookmarkEnd w:id="10"/>
    <w:bookmarkStart w:name="z18"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11"/>
    <w:bookmarkStart w:name="z19"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Туризм және спорт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