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9961f" w14:textId="cb996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Банкінің алтынвалюта активтерінің бір бөлігін сыртқы басқаруға беру қағидаларын бекіту туралы" Қазақстан Республикасы Ұлттық Банкі Басқармасының 2020 жылғы 19 наурыздағы № 30 қаулысына өзгерістер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2024 жылғы 23 қыркүйектегі № 56 қаулысы. Қазақстан Республикасының Әділет министрлігінде 2024 жылғы 27 қыркүйекте № 35131 болып тіркелді</w:t>
      </w:r>
    </w:p>
    <w:p>
      <w:pPr>
        <w:spacing w:after="0"/>
        <w:ind w:left="0"/>
        <w:jc w:val="both"/>
      </w:pPr>
      <w:bookmarkStart w:name="z1" w:id="0"/>
      <w:r>
        <w:rPr>
          <w:rFonts w:ascii="Times New Roman"/>
          <w:b w:val="false"/>
          <w:i w:val="false"/>
          <w:color w:val="000000"/>
          <w:sz w:val="28"/>
        </w:rPr>
        <w:t>
      Қазақстан Республикасы Ұлттық Банкінің Басқармасы ҚАУЛЫ ЕТЕДІ: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 Ұлттық Банкінің алтынвалюта активтерінің бір бөлігін сыртқы басқаруға беру қағидаларын бекіту туралы" Қазақстан Республикасы Ұлттық Банкі Басқармасының 2020 жылғы 19 наурыздағы № 30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20249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Ұлттық Банкі туралы" Қазақстан Республикасының </w:t>
      </w:r>
      <w:r>
        <w:rPr>
          <w:rFonts w:ascii="Times New Roman"/>
          <w:b w:val="false"/>
          <w:i w:val="false"/>
          <w:color w:val="000000"/>
          <w:sz w:val="28"/>
        </w:rPr>
        <w:t>Заңының</w:t>
      </w:r>
      <w:r>
        <w:rPr>
          <w:rFonts w:ascii="Times New Roman"/>
          <w:b w:val="false"/>
          <w:i w:val="false"/>
          <w:color w:val="000000"/>
          <w:sz w:val="28"/>
        </w:rPr>
        <w:t xml:space="preserve"> 15-тармағының екінші бөлігінің 39) тармақшасына сәйкес Қазақстан Республикасы Ұлттық Банкінің алтынвалюта активтерін басқару тиімділігін арттыру мақсатында Қазақстан Республикасы Ұлттық Банкінің Басқармасы </w:t>
      </w:r>
      <w:r>
        <w:rPr>
          <w:rFonts w:ascii="Times New Roman"/>
          <w:b/>
          <w:i w:val="false"/>
          <w:color w:val="000000"/>
          <w:sz w:val="28"/>
        </w:rPr>
        <w:t>ҚАУЛЫ</w:t>
      </w:r>
      <w:r>
        <w:rPr>
          <w:rFonts w:ascii="Times New Roman"/>
          <w:b/>
          <w:i w:val="false"/>
          <w:color w:val="000000"/>
          <w:sz w:val="28"/>
        </w:rPr>
        <w:t xml:space="preserve"> ЕТЕДІ:</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қаулымен бекітілген Қазақстан Республикасы Ұлттық Банкінің алтынвалюта активтерінің бір бөлігін сыртқы басқаруға беру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Қазақстан Республикасы Ұлттық Банкінің алтынвалюта активтерінің бір бөлігін сыртқы басқаруға беру қағидалары (бұдан әрі – Қағидалар) "Қазақстан Республикасының Ұлттық Банкі туралы" Қазақстан Республикасының </w:t>
      </w:r>
      <w:r>
        <w:rPr>
          <w:rFonts w:ascii="Times New Roman"/>
          <w:b w:val="false"/>
          <w:i w:val="false"/>
          <w:color w:val="000000"/>
          <w:sz w:val="28"/>
        </w:rPr>
        <w:t>Заңының</w:t>
      </w:r>
      <w:r>
        <w:rPr>
          <w:rFonts w:ascii="Times New Roman"/>
          <w:b w:val="false"/>
          <w:i w:val="false"/>
          <w:color w:val="000000"/>
          <w:sz w:val="28"/>
        </w:rPr>
        <w:t xml:space="preserve"> 15-тармағының екінші бөлігінің 39) тармақшасына, Қазақстан Республикасының Ұлттық Банкі Басқармасының 2015 жылғы 17 маусымдағы № 112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Ұлттық Банкінің алтынвалюта активтерін басқару жөніндегі инвестициялық стратегиясына (бұдан әрі – Алтынвалюта активтерін басқару жөніндегі инвестициялық стратегия) сәйкес әзірленді және Қазақстан Республикасы Ұлттық Банкінің (бұдан әрі – Ұлттық Банк) алтынвалюта активтерінің бір бөлігін сыртқы басқаруға беру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8) тармақшасы мынадай редакцияда жазылсын: </w:t>
      </w:r>
    </w:p>
    <w:bookmarkStart w:name="z9" w:id="1"/>
    <w:p>
      <w:pPr>
        <w:spacing w:after="0"/>
        <w:ind w:left="0"/>
        <w:jc w:val="both"/>
      </w:pPr>
      <w:r>
        <w:rPr>
          <w:rFonts w:ascii="Times New Roman"/>
          <w:b w:val="false"/>
          <w:i w:val="false"/>
          <w:color w:val="000000"/>
          <w:sz w:val="28"/>
        </w:rPr>
        <w:t>
      "8) балама құралдар – ұзақ мерзімді перспективадағы кірістілікті арттыруға арналған активтердің сыныптары (дамушы нарықтардың акциялары (Emerging Market equities), кірістілігі жоғары облигациялар (High Yield Bonds), абсолюттік кірістілік өнімдері (Absolute Return), хедж-қорлар (Hedge Funds), хедж-қорлардың қорлары (Fund of Hedge Funds) және қорлардың қорлары (Fund of Funds), жеке капитал (Private Equity), жеке борыш (Private Credit), тәуекелі жоғары бағалы қағаздар (Distressed Securities), жылжымайтын мүлікке салынатын инвестициялар (Real Estate), инфрақұрылымдық инвестициялар (Infrastructure), тікелей инвестициялар (Strategic investments and co-investments);";</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екінші бөлігі мынадай редакцияда жазылсын:</w:t>
      </w:r>
    </w:p>
    <w:bookmarkStart w:name="z11" w:id="2"/>
    <w:p>
      <w:pPr>
        <w:spacing w:after="0"/>
        <w:ind w:left="0"/>
        <w:jc w:val="both"/>
      </w:pPr>
      <w:r>
        <w:rPr>
          <w:rFonts w:ascii="Times New Roman"/>
          <w:b w:val="false"/>
          <w:i w:val="false"/>
          <w:color w:val="000000"/>
          <w:sz w:val="28"/>
        </w:rPr>
        <w:t>
      "Қағидаларда балама құралдар портфелінің активтерін, сондай-ақ алтынвалюта активтерінің дамушы нарықтары портфелінің активтерін халықаралық қаржы ұйымдарының бағдарламалары шеңберінде сыртқы басқаруға беру тәртібі айқындалмайды.".</w:t>
      </w:r>
    </w:p>
    <w:bookmarkEnd w:id="2"/>
    <w:bookmarkStart w:name="z12" w:id="3"/>
    <w:p>
      <w:pPr>
        <w:spacing w:after="0"/>
        <w:ind w:left="0"/>
        <w:jc w:val="both"/>
      </w:pPr>
      <w:r>
        <w:rPr>
          <w:rFonts w:ascii="Times New Roman"/>
          <w:b w:val="false"/>
          <w:i w:val="false"/>
          <w:color w:val="000000"/>
          <w:sz w:val="28"/>
        </w:rPr>
        <w:t>
      2. Қазақстан Республикасы Ұлттық Банкінің Монетарлық операциялар департаменті Қазақстан Республикасының заңнамасында белгіленген тәртіппен:</w:t>
      </w:r>
    </w:p>
    <w:bookmarkEnd w:id="3"/>
    <w:bookmarkStart w:name="z13" w:id="4"/>
    <w:p>
      <w:pPr>
        <w:spacing w:after="0"/>
        <w:ind w:left="0"/>
        <w:jc w:val="both"/>
      </w:pPr>
      <w:r>
        <w:rPr>
          <w:rFonts w:ascii="Times New Roman"/>
          <w:b w:val="false"/>
          <w:i w:val="false"/>
          <w:color w:val="000000"/>
          <w:sz w:val="28"/>
        </w:rPr>
        <w:t>
      1) Қазақстан Республикасы Ұлттық Банкінің Заң департаментімен бірлесіп осы қаулыны Қазақстан Республикасының Әділет министрлігінде мемлекеттік тіркеуді;</w:t>
      </w:r>
    </w:p>
    <w:bookmarkEnd w:id="4"/>
    <w:bookmarkStart w:name="z14" w:id="5"/>
    <w:p>
      <w:pPr>
        <w:spacing w:after="0"/>
        <w:ind w:left="0"/>
        <w:jc w:val="both"/>
      </w:pPr>
      <w:r>
        <w:rPr>
          <w:rFonts w:ascii="Times New Roman"/>
          <w:b w:val="false"/>
          <w:i w:val="false"/>
          <w:color w:val="000000"/>
          <w:sz w:val="28"/>
        </w:rPr>
        <w:t>
      2) осы қаулыны ресми жарияланғаннан кейін Қазақстан Республикасы Ұлттық Банкінің ресми интернет-ресурсына орналастыруды;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Қазақстан Республикасы Ұлттық Банкінің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Start w:name="z16" w:id="6"/>
    <w:p>
      <w:pPr>
        <w:spacing w:after="0"/>
        <w:ind w:left="0"/>
        <w:jc w:val="both"/>
      </w:pPr>
      <w:r>
        <w:rPr>
          <w:rFonts w:ascii="Times New Roman"/>
          <w:b w:val="false"/>
          <w:i w:val="false"/>
          <w:color w:val="000000"/>
          <w:sz w:val="28"/>
        </w:rPr>
        <w:t>
      3. Осы қаулының орындалуын бақылау Қазақстан Республикасының Ұлттық Банкі Төрағасының жетекшілік ететін орынбасарына жүктелсін.</w:t>
      </w:r>
    </w:p>
    <w:bookmarkEnd w:id="6"/>
    <w:bookmarkStart w:name="z17"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Ұлттық Банкінің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Сулейменов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