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0c52f" w14:textId="1a0c5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ұйымында сақталатын деректерге санкцияланбаған қол жеткізуден ақпараттың сақталуын және қорғалуын қамтамасыз ететін қауіпсіз жұмысты ұйымдастыруға, сондай-ақ сақтандыру (қайта сақтандыру) ұйымының киберқауіпсіздігіне қойылатын талаптарды бекіту туралы" Қазақстан Республикасы Ұлттық Банкі Басқармасының 2018 жылғы 30 шiлдедегi № 164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29 тамыздағы № 73 қаулысы. Қазақстан Республикасының Әділет министрлігінде 2024 жылғы 3 қыркүйекте № 35024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"Сақтандыру (қайта сақтандыру) ұйымында сақталатын деректерге санкцияланбаған қол жеткізуден ақпараттың сақталуын және қорғалуын қамтамасыз ететін қауіпсіз жұмысты ұйымдастыруға, сондай-ақ сақтандыру (қайта сақтандыру) ұйымының киберқауіпсіздігіне қойылатын талаптарды бекіту туралы" Қазақстан Республикасы Ұлттық Банкі Басқармасының 2018 жылғы 30 шiлдедегi № 164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17289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ұйымында сақталатын деректерге санкцияланбаған қол жеткізуден ақпараттың сақталуын және қорғалуын қамтамасыз ететін қауіпсіз жұмысты ұйымдастыруға, сондай-ақ сақтандыру (қайта сақтандыру) ұйымының киберқауіпсіздігіне қойылатын </w:t>
      </w:r>
      <w:r>
        <w:rPr>
          <w:rFonts w:ascii="Times New Roman"/>
          <w:b w:val="false"/>
          <w:i w:val="false"/>
          <w:color w:val="000000"/>
          <w:sz w:val="28"/>
        </w:rPr>
        <w:t>талаптарда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Сақтандыру (қайта сақтандыру) ұйымында сақталатын деректерге санкцияланбаған қол жеткізуден ақпараттың сақталуын және қорғалуын қамтамасыз ететін қауіпсіз жұмысты ұйымдастыруға, сондай-ақ сақтандыру (қайта сақтандыру) ұйымының киберқауіпсіздігіне қойылатын талаптар (бұдан әрі – Талаптар)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сақтандыру (қайта сақтандыру) ұйымында сақталатын деректерге санкцияланбаған қол жеткізуден ақпараттың сақталуын және қорғалуын қамтамасыз ететін қауіпсіз жұмысты ұйымдастыруға, сондай-ақ сақтандыру (қайта сақтандыру) ұйымының киберқауіпсіздігіне қойылатын талаптарды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Талаптардың </w:t>
      </w:r>
      <w:r>
        <w:rPr>
          <w:rFonts w:ascii="Times New Roman"/>
          <w:b w:val="false"/>
          <w:i w:val="false"/>
          <w:color w:val="000000"/>
          <w:sz w:val="28"/>
        </w:rPr>
        <w:t>50-тармағында</w:t>
      </w:r>
      <w:r>
        <w:rPr>
          <w:rFonts w:ascii="Times New Roman"/>
          <w:b w:val="false"/>
          <w:i w:val="false"/>
          <w:color w:val="000000"/>
          <w:sz w:val="28"/>
        </w:rPr>
        <w:t xml:space="preserve"> көрсетілген ақпарат уәкілетті органға ақпараттық қауіпсіздіктің оқиғалары мен оқыс оқиғалары туралы ақпаратты өңдеуге арналған ақпаратты өңдеудің автоматтандырылған жүйесі арқылы немесе берілетін деректердің құпиялылығы мен түзетілмейтіндігін қамтамасыз ететін криптографиялық қорғау құралдарымен ақпаратты кепілдікті тасымалдау жүйесін қолдана отырып, электрондық форматта ұсынылады.";</w:t>
      </w:r>
    </w:p>
    <w:bookmarkStart w:name="z10" w:id="1"/>
    <w:p>
      <w:pPr>
        <w:spacing w:after="0"/>
        <w:ind w:left="0"/>
        <w:jc w:val="both"/>
      </w:pPr>
      <w:r>
        <w:rPr>
          <w:rFonts w:ascii="Times New Roman"/>
          <w:b w:val="false"/>
          <w:i w:val="false"/>
          <w:color w:val="000000"/>
          <w:sz w:val="28"/>
        </w:rPr>
        <w:t>
      мынадай мазмұндағы 3-тараумен толықтырылсын:</w:t>
      </w:r>
    </w:p>
    <w:bookmarkEnd w:id="1"/>
    <w:bookmarkStart w:name="z11" w:id="2"/>
    <w:p>
      <w:pPr>
        <w:spacing w:after="0"/>
        <w:ind w:left="0"/>
        <w:jc w:val="both"/>
      </w:pPr>
      <w:r>
        <w:rPr>
          <w:rFonts w:ascii="Times New Roman"/>
          <w:b w:val="false"/>
          <w:i w:val="false"/>
          <w:color w:val="000000"/>
          <w:sz w:val="28"/>
        </w:rPr>
        <w:t>
      "3-тарау. Сақтандыру (қайта сақтандыру) ұйымы қызметтерін қашықтан көрсетуді бағдарламалық қамтамасыз етудің ақпараттық қауіпсіздігін қамтамасыз етуге қойылатын талаптар</w:t>
      </w:r>
    </w:p>
    <w:bookmarkEnd w:id="2"/>
    <w:p>
      <w:pPr>
        <w:spacing w:after="0"/>
        <w:ind w:left="0"/>
        <w:jc w:val="both"/>
      </w:pPr>
      <w:r>
        <w:rPr>
          <w:rFonts w:ascii="Times New Roman"/>
          <w:b w:val="false"/>
          <w:i w:val="false"/>
          <w:color w:val="000000"/>
          <w:sz w:val="28"/>
        </w:rPr>
        <w:t>
      54. Сақтандыру (қайта сақтандыру) ұйымы қызметтерін қашықтан көрсетуді бағдарламалық қамтамасыз ету:</w:t>
      </w:r>
    </w:p>
    <w:p>
      <w:pPr>
        <w:spacing w:after="0"/>
        <w:ind w:left="0"/>
        <w:jc w:val="both"/>
      </w:pPr>
      <w:r>
        <w:rPr>
          <w:rFonts w:ascii="Times New Roman"/>
          <w:b w:val="false"/>
          <w:i w:val="false"/>
          <w:color w:val="000000"/>
          <w:sz w:val="28"/>
        </w:rPr>
        <w:t>
      1) веб-қосымшалардың (бұдан әрі – веб-қосымша) серверлерін бағдарламалық қамтамасыз етуді;</w:t>
      </w:r>
    </w:p>
    <w:p>
      <w:pPr>
        <w:spacing w:after="0"/>
        <w:ind w:left="0"/>
        <w:jc w:val="both"/>
      </w:pPr>
      <w:r>
        <w:rPr>
          <w:rFonts w:ascii="Times New Roman"/>
          <w:b w:val="false"/>
          <w:i w:val="false"/>
          <w:color w:val="000000"/>
          <w:sz w:val="28"/>
        </w:rPr>
        <w:t>
      2) мобильді құрылғыларға (бұдан әрі – мобильді қосымша) арналған бағдарламалық қамтамасыз етуді;</w:t>
      </w:r>
    </w:p>
    <w:p>
      <w:pPr>
        <w:spacing w:after="0"/>
        <w:ind w:left="0"/>
        <w:jc w:val="both"/>
      </w:pPr>
      <w:r>
        <w:rPr>
          <w:rFonts w:ascii="Times New Roman"/>
          <w:b w:val="false"/>
          <w:i w:val="false"/>
          <w:color w:val="000000"/>
          <w:sz w:val="28"/>
        </w:rPr>
        <w:t>
      3) бағдарламалық интерфейстердің серверлерін бағдарламалық қамтамасыз етуді (бұдан әрі – серверлік ББҚ) қамтиды.</w:t>
      </w:r>
    </w:p>
    <w:p>
      <w:pPr>
        <w:spacing w:after="0"/>
        <w:ind w:left="0"/>
        <w:jc w:val="both"/>
      </w:pPr>
      <w:r>
        <w:rPr>
          <w:rFonts w:ascii="Times New Roman"/>
          <w:b w:val="false"/>
          <w:i w:val="false"/>
          <w:color w:val="000000"/>
          <w:sz w:val="28"/>
        </w:rPr>
        <w:t>
      55. Сақтандыру (қайта сақтандыру) ұйымы қашықтан қызметтер көрсетуді бағдарламалық қамтамасыз етуді әзірлеу және (немесе) пысықтауды сақтандыру (қайта сақтандыру) ұйымының бағдарламалық қамтамасыз етуді әзірлеу және (немесе) пысықтау тәртібін, әзірлеу кезеңдерін және олардың қатысушыларын регламенттейтін ішкі құжаттарына сәйкес жүзеге асырады.</w:t>
      </w:r>
    </w:p>
    <w:p>
      <w:pPr>
        <w:spacing w:after="0"/>
        <w:ind w:left="0"/>
        <w:jc w:val="both"/>
      </w:pPr>
      <w:r>
        <w:rPr>
          <w:rFonts w:ascii="Times New Roman"/>
          <w:b w:val="false"/>
          <w:i w:val="false"/>
          <w:color w:val="000000"/>
          <w:sz w:val="28"/>
        </w:rPr>
        <w:t>
      56. Егер сақтандыру (қайта сақтандыру) ұйымы қызметтерін қашықтан көрсетуді бағдарламалық қамтамасыз етуді әзірлеу және (немесе) пысықтау бөгде ұйымға және (немесе) үшінші тұлғаға берілсе, сақтандыру (қайта сақтандыру) ұйымы бөгде ұйымның және (немесе) үшінші тұлғаның осы тараудың талаптарын және ішкі құжаттардың орындалуын қамтамасыз етеді, қызметтерді қашықтан көрсетуді бағдарламалық қамтамасыз етудің қауіпсіздік жай-күйіне жауап береді.</w:t>
      </w:r>
    </w:p>
    <w:p>
      <w:pPr>
        <w:spacing w:after="0"/>
        <w:ind w:left="0"/>
        <w:jc w:val="both"/>
      </w:pPr>
      <w:r>
        <w:rPr>
          <w:rFonts w:ascii="Times New Roman"/>
          <w:b w:val="false"/>
          <w:i w:val="false"/>
          <w:color w:val="000000"/>
          <w:sz w:val="28"/>
        </w:rPr>
        <w:t>
      57. Сақтандыру (қайта сақтандыру) ұйымында әзірленетін қызметтерді қашықтықтан көрсетуді бағдарламалық қамтамасыз етудің бастапқы кодтарын сақтау резервтік көшірмені қамтамасыз ете отырып, сақтандыру (қайта сақтандыру) ұйымының қорғау ауқымында орналастырылатын код репозиторийлерін басқарудың мамандандырылған жүйелерінде жүзеге асырылады.</w:t>
      </w:r>
    </w:p>
    <w:p>
      <w:pPr>
        <w:spacing w:after="0"/>
        <w:ind w:left="0"/>
        <w:jc w:val="both"/>
      </w:pPr>
      <w:r>
        <w:rPr>
          <w:rFonts w:ascii="Times New Roman"/>
          <w:b w:val="false"/>
          <w:i w:val="false"/>
          <w:color w:val="000000"/>
          <w:sz w:val="28"/>
        </w:rPr>
        <w:t>
      58. Қызметтерді қашықтан көрсетуді бағдарламалық қамтамасыз етуді әзірлеуге және (немесе) пысықтауға сақтандыру (қайта сақтандыру) ұйымында қабылданған тәсілге қарамастан, пайдаланушыларды тіркеу, хабар алмасу және басқа да негізгі операциялар сияқты жүйенің негізгі функцияларын тестілеу, рұқсатсыз кіру, фишинг, бұзу және деректердің жария болуы сияқты қауіптерден қорғау үшін жүйенің қауіпсіздігін тексеру міндетті болып табылады.</w:t>
      </w:r>
    </w:p>
    <w:p>
      <w:pPr>
        <w:spacing w:after="0"/>
        <w:ind w:left="0"/>
        <w:jc w:val="both"/>
      </w:pPr>
      <w:r>
        <w:rPr>
          <w:rFonts w:ascii="Times New Roman"/>
          <w:b w:val="false"/>
          <w:i w:val="false"/>
          <w:color w:val="000000"/>
          <w:sz w:val="28"/>
        </w:rPr>
        <w:t>
      59. Сақтандыру (қайта сақтандыру) ұйымы атқарушы орган бекіткен ішкі құжатта айқындалған тәртіппен анықталған осалдықтарды жою жөніндегі түзету шараларының іске асырылуын қамтамасыз етеді. Бұл ретте күрделі осалдықтар қызметтерді қашықтан көрсетуді бағдарламалық қамтамасыз етуді және (немесе) оның жаңа нұсқаларын пайдалануға бергенге дейін жойылады.</w:t>
      </w:r>
    </w:p>
    <w:p>
      <w:pPr>
        <w:spacing w:after="0"/>
        <w:ind w:left="0"/>
        <w:jc w:val="both"/>
      </w:pPr>
      <w:r>
        <w:rPr>
          <w:rFonts w:ascii="Times New Roman"/>
          <w:b w:val="false"/>
          <w:i w:val="false"/>
          <w:color w:val="000000"/>
          <w:sz w:val="28"/>
        </w:rPr>
        <w:t>
      60. Сақтандыру (қайта сақтандыру) ұйымы ақпараттық қауіпсіздік жөніндегі жауапты тұлғамен келісілгеннен кейін қызметтерді қашықтан көрсетуді бағдарламалық қамтамасыз етуді және (немесе) оның жаңа нұсқаларын пайдалануға беруді жүзеге асырады.</w:t>
      </w:r>
    </w:p>
    <w:p>
      <w:pPr>
        <w:spacing w:after="0"/>
        <w:ind w:left="0"/>
        <w:jc w:val="both"/>
      </w:pPr>
      <w:r>
        <w:rPr>
          <w:rFonts w:ascii="Times New Roman"/>
          <w:b w:val="false"/>
          <w:i w:val="false"/>
          <w:color w:val="000000"/>
          <w:sz w:val="28"/>
        </w:rPr>
        <w:t>
      61. Сақтандыру (қайта сақтандыру) ұйымы соңғы 3 (үш) жыл ішінде пайдалануға берілген қызметтерді қашықтан көрсетуді бағдарламалық қамтамасыз етудің бастапқы кодтарының барлық нұсқаларына жедел режимде сақтауды және оларға қол жеткізуді және қауіпсіздікті тестілеу нәтижелерін қамтамасыз етеді.</w:t>
      </w:r>
    </w:p>
    <w:p>
      <w:pPr>
        <w:spacing w:after="0"/>
        <w:ind w:left="0"/>
        <w:jc w:val="both"/>
      </w:pPr>
      <w:r>
        <w:rPr>
          <w:rFonts w:ascii="Times New Roman"/>
          <w:b w:val="false"/>
          <w:i w:val="false"/>
          <w:color w:val="000000"/>
          <w:sz w:val="28"/>
        </w:rPr>
        <w:t>
      62. қызметтерді қашықтан көрсетуді бағдарламалық қамтамасыз етудің клиенттік және серверлік тараптары арасында деректер алмасу Transport Layer Security (Көлік Лейер Секьюрити) шифрлау хаттамасының 1.2-ден төмен емес нұсқасын пайдалана отырып шифрланады.</w:t>
      </w:r>
    </w:p>
    <w:p>
      <w:pPr>
        <w:spacing w:after="0"/>
        <w:ind w:left="0"/>
        <w:jc w:val="both"/>
      </w:pPr>
      <w:r>
        <w:rPr>
          <w:rFonts w:ascii="Times New Roman"/>
          <w:b w:val="false"/>
          <w:i w:val="false"/>
          <w:color w:val="000000"/>
          <w:sz w:val="28"/>
        </w:rPr>
        <w:t>
      63. Клиентті мобильді қосымшада бастапқы тіркеу кезінде сақтандыру (қайта сақтандыру) ұйымы Сәйкестендіру деректерімен алмасу орталығы (бұдан әрі – СДАО) және SMS-хабарламамен алынған біржолғы дербес сәйкестендіргіш (пароль) арқылы клиентті биометриялық сәйкестендіруді жүзеге асырады.</w:t>
      </w:r>
    </w:p>
    <w:p>
      <w:pPr>
        <w:spacing w:after="0"/>
        <w:ind w:left="0"/>
        <w:jc w:val="both"/>
      </w:pPr>
      <w:r>
        <w:rPr>
          <w:rFonts w:ascii="Times New Roman"/>
          <w:b w:val="false"/>
          <w:i w:val="false"/>
          <w:color w:val="000000"/>
          <w:sz w:val="28"/>
        </w:rPr>
        <w:t>
      64. Мобильді қосымшаға кіру кодын (паролін) өзгерту СДАО растаған биометриялық деректерді және SMS-хабарламамен алынған біржолғы дербес сәйкестендіргішті (парольді) пайдалана отырып, клиенттің биометриялық сәйкестендіруін қолдану арқылы жүзеге асырылады.</w:t>
      </w:r>
    </w:p>
    <w:p>
      <w:pPr>
        <w:spacing w:after="0"/>
        <w:ind w:left="0"/>
        <w:jc w:val="both"/>
      </w:pPr>
      <w:r>
        <w:rPr>
          <w:rFonts w:ascii="Times New Roman"/>
          <w:b w:val="false"/>
          <w:i w:val="false"/>
          <w:color w:val="000000"/>
          <w:sz w:val="28"/>
        </w:rPr>
        <w:t>
      65. Қызметтерді қашықтан көрсетуді бағдарламалық қамтамасыз етуде клиентті сәйкестендіру және бірдейлендіру сақтандыру (қайта сақтандыру) ұйымының ішкі құжаттарында белгіленген қауіпсіздік рәсімдеріне сәйкес екі факторлы бірдейлендіру тәсілдерін (үш фактордың екеуін: білімін, иеленуін, ажырамастығын) пайдалана отырып жүзеге асырылады.</w:t>
      </w:r>
    </w:p>
    <w:p>
      <w:pPr>
        <w:spacing w:after="0"/>
        <w:ind w:left="0"/>
        <w:jc w:val="both"/>
      </w:pPr>
      <w:r>
        <w:rPr>
          <w:rFonts w:ascii="Times New Roman"/>
          <w:b w:val="false"/>
          <w:i w:val="false"/>
          <w:color w:val="000000"/>
          <w:sz w:val="28"/>
        </w:rPr>
        <w:t>
      66. Қызметтерді қашықтан көрсетуді бағдарламалық қамтамасыз етуді кроссдомендік бірдейлендіру тетігі ақпараттық қауіпсіздік жөніндегі бөлімшемен келісіледі.</w:t>
      </w:r>
    </w:p>
    <w:p>
      <w:pPr>
        <w:spacing w:after="0"/>
        <w:ind w:left="0"/>
        <w:jc w:val="both"/>
      </w:pPr>
      <w:r>
        <w:rPr>
          <w:rFonts w:ascii="Times New Roman"/>
          <w:b w:val="false"/>
          <w:i w:val="false"/>
          <w:color w:val="000000"/>
          <w:sz w:val="28"/>
        </w:rPr>
        <w:t>
      67. Веб-қосымша:</w:t>
      </w:r>
    </w:p>
    <w:p>
      <w:pPr>
        <w:spacing w:after="0"/>
        <w:ind w:left="0"/>
        <w:jc w:val="both"/>
      </w:pPr>
      <w:r>
        <w:rPr>
          <w:rFonts w:ascii="Times New Roman"/>
          <w:b w:val="false"/>
          <w:i w:val="false"/>
          <w:color w:val="000000"/>
          <w:sz w:val="28"/>
        </w:rPr>
        <w:t>
      1) веб-қосымшаның сақтандыру (қайта сақтандыру) ұйымына тиесілілігін идентификаттаудың бірегейлігін (домендік атауы, логотиптері, корпоративтік түстері);</w:t>
      </w:r>
    </w:p>
    <w:p>
      <w:pPr>
        <w:spacing w:after="0"/>
        <w:ind w:left="0"/>
        <w:jc w:val="both"/>
      </w:pPr>
      <w:r>
        <w:rPr>
          <w:rFonts w:ascii="Times New Roman"/>
          <w:b w:val="false"/>
          <w:i w:val="false"/>
          <w:color w:val="000000"/>
          <w:sz w:val="28"/>
        </w:rPr>
        <w:t>
      2) браузердің жадында авторизациялық деректерді сақтауға тыйым салуды;</w:t>
      </w:r>
    </w:p>
    <w:p>
      <w:pPr>
        <w:spacing w:after="0"/>
        <w:ind w:left="0"/>
        <w:jc w:val="both"/>
      </w:pPr>
      <w:r>
        <w:rPr>
          <w:rFonts w:ascii="Times New Roman"/>
          <w:b w:val="false"/>
          <w:i w:val="false"/>
          <w:color w:val="000000"/>
          <w:sz w:val="28"/>
        </w:rPr>
        <w:t>
      3) енгізілген құпияларды жасыруды;</w:t>
      </w:r>
    </w:p>
    <w:p>
      <w:pPr>
        <w:spacing w:after="0"/>
        <w:ind w:left="0"/>
        <w:jc w:val="both"/>
      </w:pPr>
      <w:r>
        <w:rPr>
          <w:rFonts w:ascii="Times New Roman"/>
          <w:b w:val="false"/>
          <w:i w:val="false"/>
          <w:color w:val="000000"/>
          <w:sz w:val="28"/>
        </w:rPr>
        <w:t>
      4) веб-қосымшаны пайдалану кезінде сақтауға ұсынылатын кибергигиенаны қамтамасыз ету шаралары туралы клиенттің авторизация бетінде хабардар етілуін;</w:t>
      </w:r>
    </w:p>
    <w:p>
      <w:pPr>
        <w:spacing w:after="0"/>
        <w:ind w:left="0"/>
        <w:jc w:val="both"/>
      </w:pPr>
      <w:r>
        <w:rPr>
          <w:rFonts w:ascii="Times New Roman"/>
          <w:b w:val="false"/>
          <w:i w:val="false"/>
          <w:color w:val="000000"/>
          <w:sz w:val="28"/>
        </w:rPr>
        <w:t>
      5) клиенттің интерфейсінде құпия деректердің көрсетілуіне жол бермей, қате туралы барынша жеткілікті ақпарат бере отырып, қателер мен ерекшеліктердің қауіпсіз тәсілмен өңделуін қамтамасыз етеді.</w:t>
      </w:r>
    </w:p>
    <w:p>
      <w:pPr>
        <w:spacing w:after="0"/>
        <w:ind w:left="0"/>
        <w:jc w:val="both"/>
      </w:pPr>
      <w:r>
        <w:rPr>
          <w:rFonts w:ascii="Times New Roman"/>
          <w:b w:val="false"/>
          <w:i w:val="false"/>
          <w:color w:val="000000"/>
          <w:sz w:val="28"/>
        </w:rPr>
        <w:t>
      68. Мобильдік қосымша:</w:t>
      </w:r>
    </w:p>
    <w:p>
      <w:pPr>
        <w:spacing w:after="0"/>
        <w:ind w:left="0"/>
        <w:jc w:val="both"/>
      </w:pPr>
      <w:r>
        <w:rPr>
          <w:rFonts w:ascii="Times New Roman"/>
          <w:b w:val="false"/>
          <w:i w:val="false"/>
          <w:color w:val="000000"/>
          <w:sz w:val="28"/>
        </w:rPr>
        <w:t>
      1) мобильдік қосымшаның сақтандыру (қайта сақтандыру) ұйымына тиесілілігін идентификаттаудың бірегейлігін (қосымшалардың ресми дүкеніндегі деректер, логотиптер, корпоративтік түстер);</w:t>
      </w:r>
    </w:p>
    <w:p>
      <w:pPr>
        <w:spacing w:after="0"/>
        <w:ind w:left="0"/>
        <w:jc w:val="both"/>
      </w:pPr>
      <w:r>
        <w:rPr>
          <w:rFonts w:ascii="Times New Roman"/>
          <w:b w:val="false"/>
          <w:i w:val="false"/>
          <w:color w:val="000000"/>
          <w:sz w:val="28"/>
        </w:rPr>
        <w:t>
      2) операциялық жүйенің тұтастығын бұзу және (немесе) қорғау тетіктерін айналып өту белгілері анықталған, қашықтан басқару процестері анықталған жағдайда сақтандыру (қайта сақтандыру) ұйымының қашықтықтан қызмет көрсету жөніндегі функционалын бұғаттауды;</w:t>
      </w:r>
    </w:p>
    <w:p>
      <w:pPr>
        <w:spacing w:after="0"/>
        <w:ind w:left="0"/>
        <w:jc w:val="both"/>
      </w:pPr>
      <w:r>
        <w:rPr>
          <w:rFonts w:ascii="Times New Roman"/>
          <w:b w:val="false"/>
          <w:i w:val="false"/>
          <w:color w:val="000000"/>
          <w:sz w:val="28"/>
        </w:rPr>
        <w:t>
      3) клиентке мобильдік қосымшаның жаңартулары бар екендігі туралы хабарлауды;</w:t>
      </w:r>
    </w:p>
    <w:p>
      <w:pPr>
        <w:spacing w:after="0"/>
        <w:ind w:left="0"/>
        <w:jc w:val="both"/>
      </w:pPr>
      <w:r>
        <w:rPr>
          <w:rFonts w:ascii="Times New Roman"/>
          <w:b w:val="false"/>
          <w:i w:val="false"/>
          <w:color w:val="000000"/>
          <w:sz w:val="28"/>
        </w:rPr>
        <w:t>
      4) маңызды осалдықтарды жою қажет болған жағдайда мобильдік қосымшаның жаңартуларын мәжбүрлеп орнату немесе оларды орнатқанға дейін мобильдік қосымшаның функционалын бұғаттау мүмкіндігін;</w:t>
      </w:r>
    </w:p>
    <w:p>
      <w:pPr>
        <w:spacing w:after="0"/>
        <w:ind w:left="0"/>
        <w:jc w:val="both"/>
      </w:pPr>
      <w:r>
        <w:rPr>
          <w:rFonts w:ascii="Times New Roman"/>
          <w:b w:val="false"/>
          <w:i w:val="false"/>
          <w:color w:val="000000"/>
          <w:sz w:val="28"/>
        </w:rPr>
        <w:t>
      5) құпия деректерді мобильдік қосымшаның қорғалған контейнерінде немесе жүйелік есептік деректер қоймасында сақтауды;</w:t>
      </w:r>
    </w:p>
    <w:p>
      <w:pPr>
        <w:spacing w:after="0"/>
        <w:ind w:left="0"/>
        <w:jc w:val="both"/>
      </w:pPr>
      <w:r>
        <w:rPr>
          <w:rFonts w:ascii="Times New Roman"/>
          <w:b w:val="false"/>
          <w:i w:val="false"/>
          <w:color w:val="000000"/>
          <w:sz w:val="28"/>
        </w:rPr>
        <w:t>
      6) құпия деректердің кэштелуін болдырмауды;</w:t>
      </w:r>
    </w:p>
    <w:p>
      <w:pPr>
        <w:spacing w:after="0"/>
        <w:ind w:left="0"/>
        <w:jc w:val="both"/>
      </w:pPr>
      <w:r>
        <w:rPr>
          <w:rFonts w:ascii="Times New Roman"/>
          <w:b w:val="false"/>
          <w:i w:val="false"/>
          <w:color w:val="000000"/>
          <w:sz w:val="28"/>
        </w:rPr>
        <w:t>
      7) мобильдік қосымшаның резервтік көшірмелерінен ашық түрдегі құпия деректерін алып тастауды;</w:t>
      </w:r>
    </w:p>
    <w:p>
      <w:pPr>
        <w:spacing w:after="0"/>
        <w:ind w:left="0"/>
        <w:jc w:val="both"/>
      </w:pPr>
      <w:r>
        <w:rPr>
          <w:rFonts w:ascii="Times New Roman"/>
          <w:b w:val="false"/>
          <w:i w:val="false"/>
          <w:color w:val="000000"/>
          <w:sz w:val="28"/>
        </w:rPr>
        <w:t>
      8) клиентті мобильдік қосымшаны пайдалану кезінде сақтауға ұсынылатын кибергигиенаны қамтамасыз ету әдістері туралы хабардар етуді;</w:t>
      </w:r>
    </w:p>
    <w:p>
      <w:pPr>
        <w:spacing w:after="0"/>
        <w:ind w:left="0"/>
        <w:jc w:val="both"/>
      </w:pPr>
      <w:r>
        <w:rPr>
          <w:rFonts w:ascii="Times New Roman"/>
          <w:b w:val="false"/>
          <w:i w:val="false"/>
          <w:color w:val="000000"/>
          <w:sz w:val="28"/>
        </w:rPr>
        <w:t>
      9) клиентті оның есептік жазбасындағы авторландыру оқиғалары, парольді өзгерту және (немесе) қалпына келтіру, сақтандыру ұйым тіркеген ұялы телефон нөмірін өзгерту туралы хабардар ету;</w:t>
      </w:r>
    </w:p>
    <w:p>
      <w:pPr>
        <w:spacing w:after="0"/>
        <w:ind w:left="0"/>
        <w:jc w:val="both"/>
      </w:pPr>
      <w:r>
        <w:rPr>
          <w:rFonts w:ascii="Times New Roman"/>
          <w:b w:val="false"/>
          <w:i w:val="false"/>
          <w:color w:val="000000"/>
          <w:sz w:val="28"/>
        </w:rPr>
        <w:t>
      10) ақшалай қаражатпен операцияларды жүзеге асыру барысында – клиенттің рұқсаты болған жағдайда мобильдік құрылғының геолокациялық деректерін сақтандыру (қайта сақтандыру) ұйымының серверлік ББҚ-ға жіберуді не мұндай рұқсаттың жоқ екендігі туралы ақпаратты жіберуді қамтамасыз етеді.</w:t>
      </w:r>
    </w:p>
    <w:p>
      <w:pPr>
        <w:spacing w:after="0"/>
        <w:ind w:left="0"/>
        <w:jc w:val="both"/>
      </w:pPr>
      <w:r>
        <w:rPr>
          <w:rFonts w:ascii="Times New Roman"/>
          <w:b w:val="false"/>
          <w:i w:val="false"/>
          <w:color w:val="000000"/>
          <w:sz w:val="28"/>
        </w:rPr>
        <w:t>
      69. Сақтандыру (қайта сақтандыру) ұйымы өз тарапынан:</w:t>
      </w:r>
    </w:p>
    <w:p>
      <w:pPr>
        <w:spacing w:after="0"/>
        <w:ind w:left="0"/>
        <w:jc w:val="both"/>
      </w:pPr>
      <w:r>
        <w:rPr>
          <w:rFonts w:ascii="Times New Roman"/>
          <w:b w:val="false"/>
          <w:i w:val="false"/>
          <w:color w:val="000000"/>
          <w:sz w:val="28"/>
        </w:rPr>
        <w:t>
      1) жауапта құпия деректердің жария болуына жол бермей, проблеманы диагностикалау үшін барынша аз жеткілікті ақпарат бере отырып, қателер мен ерекшеліктерді қауіпсіз тәсілмен өңдеуді;</w:t>
      </w:r>
    </w:p>
    <w:p>
      <w:pPr>
        <w:spacing w:after="0"/>
        <w:ind w:left="0"/>
        <w:jc w:val="both"/>
      </w:pPr>
      <w:r>
        <w:rPr>
          <w:rFonts w:ascii="Times New Roman"/>
          <w:b w:val="false"/>
          <w:i w:val="false"/>
          <w:color w:val="000000"/>
          <w:sz w:val="28"/>
        </w:rPr>
        <w:t>
      2) мобильдік қосымшаларды және олармен байланысты құрылғыларды сәйкестендіруді және бірдейлендіруді;</w:t>
      </w:r>
    </w:p>
    <w:p>
      <w:pPr>
        <w:spacing w:after="0"/>
        <w:ind w:left="0"/>
        <w:jc w:val="both"/>
      </w:pPr>
      <w:r>
        <w:rPr>
          <w:rFonts w:ascii="Times New Roman"/>
          <w:b w:val="false"/>
          <w:i w:val="false"/>
          <w:color w:val="000000"/>
          <w:sz w:val="28"/>
        </w:rPr>
        <w:t>
      3) жалған сұратулар мен зиянды кодтың инъекцияларымен шабуылдардың алдын алу үшін деректердің жарамдылығын тексеруді қамтамасыз етеді.".</w:t>
      </w:r>
    </w:p>
    <w:bookmarkStart w:name="z12" w:id="3"/>
    <w:p>
      <w:pPr>
        <w:spacing w:after="0"/>
        <w:ind w:left="0"/>
        <w:jc w:val="both"/>
      </w:pPr>
      <w:r>
        <w:rPr>
          <w:rFonts w:ascii="Times New Roman"/>
          <w:b w:val="false"/>
          <w:i w:val="false"/>
          <w:color w:val="000000"/>
          <w:sz w:val="28"/>
        </w:rPr>
        <w:t>
      2. Ақпараттық және киберқауіпсіздік департаменті Қазақстан Республикасының заңнамасында белгіленген тәртіппен:</w:t>
      </w:r>
    </w:p>
    <w:bookmarkEnd w:id="3"/>
    <w:bookmarkStart w:name="z13"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14"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16" w:id="6"/>
    <w:p>
      <w:pPr>
        <w:spacing w:after="0"/>
        <w:ind w:left="0"/>
        <w:jc w:val="both"/>
      </w:pPr>
      <w:r>
        <w:rPr>
          <w:rFonts w:ascii="Times New Roman"/>
          <w:b w:val="false"/>
          <w:i w:val="false"/>
          <w:color w:val="000000"/>
          <w:sz w:val="28"/>
        </w:rPr>
        <w:t>
      3.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6"/>
    <w:bookmarkStart w:name="z17"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