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df03" w14:textId="338d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қағидаларын бекіту туралы" Қазақстан Республикасы Ұлттық экономика министрінің 2021 жылғы 1 қазандағы № 89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12 тамыздағы № 65 бұйрығы. Қазақстан Республикасының Әділет министрлігінде 2024 жылғы 12 тамызда № 34920 болып тіркелді. Күші жойылды - Қазақстан Республикасы Премьер-Министрінің орынбасары - Ұлттық экономика министрінің 2025 жылғы 12 тамыздағы № 77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12.08.2025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қағидаларын бекіту туралы" Қазақстан Республикасы Ұлттық экономика министрінің 2021 жылғы 1 қазандағы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24623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"3)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4"/>
    <w:bookmarkStart w:name="z5" w:id="5"/>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және қаржы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