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d2d6" w14:textId="d49d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шiлдедегi № 286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31 шiлдедегi № 385 бұйрығы. Қазақстан Республикасының Әділет министрлігінде 2024 жылғы 31 шiлдеде № 34850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шiлдедегi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 "Құжаттар пакетін қабылдағаннан кейін ЖЖКОБҰ қабылдау комиссиясының хатшысы күнтізбелік жылғы 21 шілдеге дейін 1 (бір жұмыс) күні ішінде ЖЖОКБҰ қабылдау комиссиясының дерекқорынан мәліметтерді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(бұдан әрі – ҰТО) жалпы дерекқорына жібереді.</w:t>
      </w:r>
    </w:p>
    <w:bookmarkEnd w:id="1"/>
    <w:p>
      <w:pPr>
        <w:spacing w:after="0"/>
        <w:ind w:left="0"/>
        <w:jc w:val="both"/>
      </w:pPr>
      <w:r>
        <w:rPr>
          <w:rFonts w:ascii="Times New Roman"/>
          <w:b w:val="false"/>
          <w:i w:val="false"/>
          <w:color w:val="000000"/>
          <w:sz w:val="28"/>
        </w:rPr>
        <w:t>
      Көрсетілетін қызметті алушыға білім беру гранттарын тағайындау конкурсына қатысу туралы анықтама беріледі.</w:t>
      </w:r>
    </w:p>
    <w:p>
      <w:pPr>
        <w:spacing w:after="0"/>
        <w:ind w:left="0"/>
        <w:jc w:val="both"/>
      </w:pPr>
      <w:r>
        <w:rPr>
          <w:rFonts w:ascii="Times New Roman"/>
          <w:b w:val="false"/>
          <w:i w:val="false"/>
          <w:color w:val="000000"/>
          <w:sz w:val="28"/>
        </w:rPr>
        <w:t>
      ҰТО күнтізбелік жылдың 22 - 27 шілде аралығында республикалық конкурстық комиссияның отырысында қарау үшін деректер базасын және қажетті шығыс құжаттарын (білім беру бағдарламалары топтары бөлінісінде жиынтық ведомостарды) әзірлейді.</w:t>
      </w:r>
    </w:p>
    <w:p>
      <w:pPr>
        <w:spacing w:after="0"/>
        <w:ind w:left="0"/>
        <w:jc w:val="both"/>
      </w:pPr>
      <w:r>
        <w:rPr>
          <w:rFonts w:ascii="Times New Roman"/>
          <w:b w:val="false"/>
          <w:i w:val="false"/>
          <w:color w:val="000000"/>
          <w:sz w:val="28"/>
        </w:rPr>
        <w:t>
      Республикалық конкурстық комиссияның шешімі негізінде көрсетілетін қызметті беруші күнтізбелік жылдың 10 тамызына дейін білім беру гранттарын беру туралы бұйрық шығарады. Бұйрықтың көшірмесі ҰТО-ға беріледі. Көрсетілетін қызметті берушінің бұйрығы негізінде ҰТО 3 (үш) жұмыс күні ішінде білім беру гранттарын тағайындау туралы электрондық куәліктерді дайындауды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қосымшасында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реттік нөмірі 1-жол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Ғылым және жоғары білім министрлігі (ЖЖОКБҰ қабылдау комиссиясы арқылы) (бұдан әрі – көрсетілетін қызметті беруші) көрсетеді.</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реттік нөмірі 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реттік нөмірі 8-жол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p>
          <w:p>
            <w:pPr>
              <w:spacing w:after="20"/>
              <w:ind w:left="20"/>
              <w:jc w:val="both"/>
            </w:pPr>
            <w:r>
              <w:rPr>
                <w:rFonts w:ascii="Times New Roman"/>
                <w:b w:val="false"/>
                <w:i w:val="false"/>
                <w:color w:val="000000"/>
                <w:sz w:val="20"/>
              </w:rPr>
              <w:t>
1) осы Негізгі талаптар тізбесіне қосымшаға сәйкес нысан бойынша конкурсқа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ұлттық бірыңғай тестілеу сертификаты (әскерге шақыру бойынша мерзімді әскери қызметтің белгіленген мерзімін өткерген Қазақстан Республикасының азаматтарынан басқа);</w:t>
            </w:r>
          </w:p>
          <w:p>
            <w:pPr>
              <w:spacing w:after="20"/>
              <w:ind w:left="20"/>
              <w:jc w:val="both"/>
            </w:pPr>
            <w:r>
              <w:rPr>
                <w:rFonts w:ascii="Times New Roman"/>
                <w:b w:val="false"/>
                <w:i w:val="false"/>
                <w:color w:val="000000"/>
                <w:sz w:val="20"/>
              </w:rPr>
              <w:t>
4)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дәрігерлік-консультациялық комиссияның қорытындысы;</w:t>
            </w:r>
          </w:p>
          <w:p>
            <w:pPr>
              <w:spacing w:after="20"/>
              <w:ind w:left="20"/>
              <w:jc w:val="both"/>
            </w:pPr>
            <w:r>
              <w:rPr>
                <w:rFonts w:ascii="Times New Roman"/>
                <w:b w:val="false"/>
                <w:i w:val="false"/>
                <w:color w:val="000000"/>
                <w:sz w:val="20"/>
              </w:rPr>
              <w:t>
6) екі немесе жалғыз ата-анасының қайтыс болуы туралы куәлік немесе қайтыс болу туралы хабарлама немесе ата-анасының жоқтығын растайтын өзге де құжаттар (ата-ана құқықтарынан айрылған не олар шектелген, хабар-ошарсыз кеткен деп тану, оларды қайтыс болды деп жариялау туралы сот шешімі);</w:t>
            </w:r>
          </w:p>
          <w:p>
            <w:pPr>
              <w:spacing w:after="20"/>
              <w:ind w:left="20"/>
              <w:jc w:val="both"/>
            </w:pPr>
            <w:r>
              <w:rPr>
                <w:rFonts w:ascii="Times New Roman"/>
                <w:b w:val="false"/>
                <w:i w:val="false"/>
                <w:color w:val="000000"/>
                <w:sz w:val="20"/>
              </w:rPr>
              <w:t>
7) Ұлы Отан соғысының қатысушыларына жеңілдіктер бойынша теңестірілген адамдар үшін растама құжат (бар болса);</w:t>
            </w:r>
          </w:p>
          <w:p>
            <w:pPr>
              <w:spacing w:after="20"/>
              <w:ind w:left="20"/>
              <w:jc w:val="both"/>
            </w:pPr>
            <w:r>
              <w:rPr>
                <w:rFonts w:ascii="Times New Roman"/>
                <w:b w:val="false"/>
                <w:i w:val="false"/>
                <w:color w:val="000000"/>
                <w:sz w:val="20"/>
              </w:rPr>
              <w:t>
8) Қазақстан Республикасының азаматтары болып табылмайтын ұлты қазақ адамдар үшін растама құжат (бар болса).</w:t>
            </w:r>
          </w:p>
          <w:p>
            <w:pPr>
              <w:spacing w:after="20"/>
              <w:ind w:left="20"/>
              <w:jc w:val="both"/>
            </w:pPr>
            <w:r>
              <w:rPr>
                <w:rFonts w:ascii="Times New Roman"/>
                <w:b w:val="false"/>
                <w:i w:val="false"/>
                <w:color w:val="000000"/>
                <w:sz w:val="20"/>
              </w:rPr>
              <w:t>
Осы 5), 7) және 8) тармақшаларда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Мемлекеттік білім беру тапсырысы негізінде ЖЖКОБҰ дайындық бөлімдерін күшейтілген тілдік дайындықпен бітірген тұлғалар ЖЖОКБҰ басшысы қол қойған бітіргені туралы транскриптіні ұсынады.</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тиісінше мамандық бойынша кемінде бір жыл жұмыс өтілі бар тұлғалар қосымша мына құжаттардың біреуін тапсырады:</w:t>
            </w:r>
          </w:p>
          <w:p>
            <w:pPr>
              <w:spacing w:after="20"/>
              <w:ind w:left="20"/>
              <w:jc w:val="both"/>
            </w:pPr>
            <w:r>
              <w:rPr>
                <w:rFonts w:ascii="Times New Roman"/>
                <w:b w:val="false"/>
                <w:i w:val="false"/>
                <w:color w:val="000000"/>
                <w:sz w:val="20"/>
              </w:rPr>
              <w:t>
1) еңбек кітапшасы;</w:t>
            </w:r>
          </w:p>
          <w:p>
            <w:pPr>
              <w:spacing w:after="20"/>
              <w:ind w:left="20"/>
              <w:jc w:val="both"/>
            </w:pPr>
            <w:r>
              <w:rPr>
                <w:rFonts w:ascii="Times New Roman"/>
                <w:b w:val="false"/>
                <w:i w:val="false"/>
                <w:color w:val="000000"/>
                <w:sz w:val="20"/>
              </w:rPr>
              <w:t>
2) ұйымның мөрімен (егер бар болса) куәландырылған жұмыс берушінің қолы қойылған қызметтік тізім (қызметкердің жұмысы, еңбек қызметі туралы мәліметтер тізбесі);</w:t>
            </w:r>
          </w:p>
          <w:p>
            <w:pPr>
              <w:spacing w:after="20"/>
              <w:ind w:left="20"/>
              <w:jc w:val="both"/>
            </w:pPr>
            <w:r>
              <w:rPr>
                <w:rFonts w:ascii="Times New Roman"/>
                <w:b w:val="false"/>
                <w:i w:val="false"/>
                <w:color w:val="000000"/>
                <w:sz w:val="20"/>
              </w:rPr>
              <w:t>
3) қызметкердің еңбек қызметі туралы мәліметті қамтитын архивтік анықтама;</w:t>
            </w:r>
          </w:p>
          <w:p>
            <w:pPr>
              <w:spacing w:after="20"/>
              <w:ind w:left="20"/>
              <w:jc w:val="both"/>
            </w:pPr>
            <w:r>
              <w:rPr>
                <w:rFonts w:ascii="Times New Roman"/>
                <w:b w:val="false"/>
                <w:i w:val="false"/>
                <w:color w:val="000000"/>
                <w:sz w:val="20"/>
              </w:rPr>
              <w:t>
4) бірыңғай жинақтаушы зейнетақы қорынан аударылған міндетті зейнетақы жарналары туралы үзінді және Мемлекеттік әлеуметтік сақтандыру қорынан алынған әлеуметтік аударымдар туралы мәліметтер;</w:t>
            </w:r>
          </w:p>
          <w:p>
            <w:pPr>
              <w:spacing w:after="20"/>
              <w:ind w:left="20"/>
              <w:jc w:val="both"/>
            </w:pPr>
            <w:r>
              <w:rPr>
                <w:rFonts w:ascii="Times New Roman"/>
                <w:b w:val="false"/>
                <w:i w:val="false"/>
                <w:color w:val="000000"/>
                <w:sz w:val="20"/>
              </w:rPr>
              <w:t>
5) жұмыс беруші тоқтатылу күні мен негіздемесі туралы белгі қойған еңбек шарты;</w:t>
            </w:r>
          </w:p>
          <w:p>
            <w:pPr>
              <w:spacing w:after="20"/>
              <w:ind w:left="20"/>
              <w:jc w:val="both"/>
            </w:pPr>
            <w:r>
              <w:rPr>
                <w:rFonts w:ascii="Times New Roman"/>
                <w:b w:val="false"/>
                <w:i w:val="false"/>
                <w:color w:val="000000"/>
                <w:sz w:val="20"/>
              </w:rPr>
              <w:t>
6) жұмыс берушінің актілерінен еңбек шартын жасасу және тоқтату негізінде еңбек қатынастарының туындауы мен тоқтатылуын растайтын үзінділер;</w:t>
            </w:r>
          </w:p>
          <w:p>
            <w:pPr>
              <w:spacing w:after="20"/>
              <w:ind w:left="20"/>
              <w:jc w:val="both"/>
            </w:pPr>
            <w:r>
              <w:rPr>
                <w:rFonts w:ascii="Times New Roman"/>
                <w:b w:val="false"/>
                <w:i w:val="false"/>
                <w:color w:val="000000"/>
                <w:sz w:val="20"/>
              </w:rPr>
              <w:t>
7) жұмыскерлерге жалақы төлеу ведомосынан үзінділер.</w:t>
            </w:r>
          </w:p>
          <w:p>
            <w:pPr>
              <w:spacing w:after="20"/>
              <w:ind w:left="20"/>
              <w:jc w:val="both"/>
            </w:pPr>
            <w:r>
              <w:rPr>
                <w:rFonts w:ascii="Times New Roman"/>
                <w:b w:val="false"/>
                <w:i w:val="false"/>
                <w:color w:val="000000"/>
                <w:sz w:val="20"/>
              </w:rPr>
              <w:t>
Жоғары білімнің білім беру грантын беруге арналған конкурсқа қатысу үшін оқуға түсуші өтініште өзі таңдаған жоғары білім беру бағдарламаларының тобын және ЖЖОКБҰ-ны көрсетеді.</w:t>
            </w:r>
          </w:p>
          <w:p>
            <w:pPr>
              <w:spacing w:after="20"/>
              <w:ind w:left="20"/>
              <w:jc w:val="both"/>
            </w:pPr>
            <w:r>
              <w:rPr>
                <w:rFonts w:ascii="Times New Roman"/>
                <w:b w:val="false"/>
                <w:i w:val="false"/>
                <w:color w:val="000000"/>
                <w:sz w:val="20"/>
              </w:rPr>
              <w:t>
Бейіндік пәндер сәйкес келген жағдайда, оқуға түсуші білім беру бағдарламаларының төрт тобына дейін көрсете алады.</w:t>
            </w:r>
          </w:p>
          <w:p>
            <w:pPr>
              <w:spacing w:after="20"/>
              <w:ind w:left="20"/>
              <w:jc w:val="both"/>
            </w:pPr>
            <w:r>
              <w:rPr>
                <w:rFonts w:ascii="Times New Roman"/>
                <w:b w:val="false"/>
                <w:i w:val="false"/>
                <w:color w:val="000000"/>
                <w:sz w:val="20"/>
              </w:rPr>
              <w:t>
Құжаттардың қабылданғанын растау құжаттарды қабылдаған адамның тегі мен аты-жөні, сондай-ақ мөртаңба, кіріс нөмірі мен күні көрсетілген қолхат беру болып табылады.</w:t>
            </w:r>
          </w:p>
          <w:p>
            <w:pPr>
              <w:spacing w:after="20"/>
              <w:ind w:left="20"/>
              <w:jc w:val="both"/>
            </w:pPr>
            <w:r>
              <w:rPr>
                <w:rFonts w:ascii="Times New Roman"/>
                <w:b w:val="false"/>
                <w:i w:val="false"/>
                <w:color w:val="000000"/>
                <w:sz w:val="20"/>
              </w:rPr>
              <w:t>
Әлеуметтік қолдау алу үшін қызмет алушы ЖЖОКБҰ қабылдау комиссиясына:</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дәрігерлік-консультациялық комиссияның қорытындысы;</w:t>
            </w:r>
          </w:p>
          <w:p>
            <w:pPr>
              <w:spacing w:after="20"/>
              <w:ind w:left="20"/>
              <w:jc w:val="both"/>
            </w:pPr>
            <w:r>
              <w:rPr>
                <w:rFonts w:ascii="Times New Roman"/>
                <w:b w:val="false"/>
                <w:i w:val="false"/>
                <w:color w:val="000000"/>
                <w:sz w:val="20"/>
              </w:rPr>
              <w:t>
3) екі немесе жалғыз ата-анасының қайтыс болуы туралы куәлік немесе қайтыс болу туралы хабарлама немесе ата-анасының жоқтығын растайтын өзге де құжаттар (ата-ана құқықтарынан айрылған не олар шектелген, хабар-ошарсыз кетті деп тану, оларды қайтыс болды деп жариялау,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xml:space="preserve">
4) Ұлы Отан соғысының қатысушыларына жеңілдіктер бойынша теңестірілген тұлғалардың растайтын құжаттары; </w:t>
            </w:r>
          </w:p>
          <w:p>
            <w:pPr>
              <w:spacing w:after="20"/>
              <w:ind w:left="20"/>
              <w:jc w:val="both"/>
            </w:pPr>
            <w:r>
              <w:rPr>
                <w:rFonts w:ascii="Times New Roman"/>
                <w:b w:val="false"/>
                <w:i w:val="false"/>
                <w:color w:val="000000"/>
                <w:sz w:val="20"/>
              </w:rPr>
              <w:t>
5) жеке басын куәландыратын құжат немесе цифрлық құжаттар сервисінен электрондық құжатты (жеке басын сәйкестендіру үшін қажет) ұсынады.</w:t>
            </w:r>
          </w:p>
          <w:p>
            <w:pPr>
              <w:spacing w:after="20"/>
              <w:ind w:left="20"/>
              <w:jc w:val="both"/>
            </w:pPr>
            <w:r>
              <w:rPr>
                <w:rFonts w:ascii="Times New Roman"/>
                <w:b w:val="false"/>
                <w:i w:val="false"/>
                <w:color w:val="000000"/>
                <w:sz w:val="20"/>
              </w:rPr>
              <w:t>
Осы 4) тармақшада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конкурсқа өтініш;</w:t>
            </w:r>
          </w:p>
          <w:p>
            <w:pPr>
              <w:spacing w:after="20"/>
              <w:ind w:left="20"/>
              <w:jc w:val="both"/>
            </w:pPr>
            <w:r>
              <w:rPr>
                <w:rFonts w:ascii="Times New Roman"/>
                <w:b w:val="false"/>
                <w:i w:val="false"/>
                <w:color w:val="000000"/>
                <w:sz w:val="20"/>
              </w:rPr>
              <w:t>
2) білімі туралы электрондық құжат;</w:t>
            </w:r>
          </w:p>
          <w:p>
            <w:pPr>
              <w:spacing w:after="20"/>
              <w:ind w:left="20"/>
              <w:jc w:val="both"/>
            </w:pPr>
            <w:r>
              <w:rPr>
                <w:rFonts w:ascii="Times New Roman"/>
                <w:b w:val="false"/>
                <w:i w:val="false"/>
                <w:color w:val="000000"/>
                <w:sz w:val="20"/>
              </w:rPr>
              <w:t>
3) 3х4 көлеміндегі сандық фото;</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5) дәрігерлік-консультациялық комиссия қорытындысының электрондық нұсқасы;</w:t>
            </w:r>
          </w:p>
          <w:p>
            <w:pPr>
              <w:spacing w:after="20"/>
              <w:ind w:left="20"/>
              <w:jc w:val="both"/>
            </w:pPr>
            <w:r>
              <w:rPr>
                <w:rFonts w:ascii="Times New Roman"/>
                <w:b w:val="false"/>
                <w:i w:val="false"/>
                <w:color w:val="000000"/>
                <w:sz w:val="20"/>
              </w:rPr>
              <w:t>
6) көрсетілетін қызметті алушының артықшылықтарын растайтын электрондық құжаттар (екі немесе жалғыз ата-анасының қайтыс болғаны туралы куәлік немесе қайтыс болу туралы хабарлама немесе ата-анасының жоқтығын растайтын өзге де құжаттар, жеңілдіктер бойынша Ұлы Отан соғысына қатысушыларға теңестірілген адамдардың құжаттарын растайтын құжаттар, мүгедектігі туралы анықтамалар).</w:t>
            </w:r>
          </w:p>
          <w:p>
            <w:pPr>
              <w:spacing w:after="20"/>
              <w:ind w:left="20"/>
              <w:jc w:val="both"/>
            </w:pPr>
            <w:r>
              <w:rPr>
                <w:rFonts w:ascii="Times New Roman"/>
                <w:b w:val="false"/>
                <w:i w:val="false"/>
                <w:color w:val="000000"/>
                <w:sz w:val="20"/>
              </w:rPr>
              <w:t>
Жеке басын куәландыратын, қорғаншылық және қамқоршылық жөніндегі құжат, Ұлттық бірыңғай тестілеу сертификаты (әскерге шақыру бойынша мерзімді әскери қызметтің белгіленген мерзімін өткерген Қазақстан Республикасының азаматтарынан басқа) туралы мәліметтерді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Өтініш берілгеннен кейін көрсетілетін қызметті алушыға "жеке кабинетте" конкурсқа қатысу үшін құжаттарды қабылдау туралы хабарлама не бас тарту туралы дәлелді жауап беріледі.</w:t>
            </w:r>
          </w:p>
          <w:p>
            <w:pPr>
              <w:spacing w:after="20"/>
              <w:ind w:left="20"/>
              <w:jc w:val="both"/>
            </w:pPr>
            <w:r>
              <w:rPr>
                <w:rFonts w:ascii="Times New Roman"/>
                <w:b w:val="false"/>
                <w:i w:val="false"/>
                <w:color w:val="000000"/>
                <w:sz w:val="20"/>
              </w:rPr>
              <w:t>
Білім беру гранты тағайындалған жағдайда көрсетілетін қызметті алушы білім беру гранты туралы электрондық куәлікті грантты ұтқан ЖЖОКБҰ-дан алады.</w:t>
            </w:r>
          </w:p>
          <w:p>
            <w:pPr>
              <w:spacing w:after="20"/>
              <w:ind w:left="20"/>
              <w:jc w:val="both"/>
            </w:pPr>
            <w:r>
              <w:rPr>
                <w:rFonts w:ascii="Times New Roman"/>
                <w:b w:val="false"/>
                <w:i w:val="false"/>
                <w:color w:val="000000"/>
                <w:sz w:val="20"/>
              </w:rPr>
              <w:t>
Жоғары білімі бар мамандар даярлауға арналған мемлекеттік білім беру тапсырысын мамандықтар бойынша бөлу туралы мәліметтер бұқаралық ақпарат құралдарында, сондай-ақ Министрліктің www.sci.gov.kz интернет-ресурсында жарияланады.</w:t>
            </w: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