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a550" w14:textId="fe4a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жылдар кезеңінде арналған озонды бұзатын заттарды тұтыну лимиттерін (квоталарын)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 шілдедегі № 150 бұйрығы. Қазақстан Республикасының Әділет министрлігінде 2024 жылғы 1 шілдеде № 34691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308-бабының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1997 жылғы 30 қазандағы </w:t>
      </w:r>
      <w:r>
        <w:rPr>
          <w:rFonts w:ascii="Times New Roman"/>
          <w:b w:val="false"/>
          <w:i w:val="false"/>
          <w:color w:val="000000"/>
          <w:sz w:val="28"/>
        </w:rPr>
        <w:t>Заңымен</w:t>
      </w:r>
      <w:r>
        <w:rPr>
          <w:rFonts w:ascii="Times New Roman"/>
          <w:b w:val="false"/>
          <w:i w:val="false"/>
          <w:color w:val="000000"/>
          <w:sz w:val="28"/>
        </w:rPr>
        <w:t xml:space="preserve"> қосылған Озон қабатын бұзатын заттар жөніндегі Монреаль хаттамасы бойынша Қазақстан Республикасының міндеттемелерін орындауды қамтамасыз ету мақсатында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2024-2025 жылдар кезеңіне арналған озонды бұзатын заттарды тұтыну </w:t>
      </w:r>
      <w:r>
        <w:rPr>
          <w:rFonts w:ascii="Times New Roman"/>
          <w:b w:val="false"/>
          <w:i w:val="false"/>
          <w:color w:val="000000"/>
          <w:sz w:val="28"/>
        </w:rPr>
        <w:t>лимиттері</w:t>
      </w:r>
      <w:r>
        <w:rPr>
          <w:rFonts w:ascii="Times New Roman"/>
          <w:b w:val="false"/>
          <w:i w:val="false"/>
          <w:color w:val="000000"/>
          <w:sz w:val="28"/>
        </w:rPr>
        <w:t xml:space="preserve"> (квоталары)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"2020-2025 жылдар кезеңінде озонды бұзатын заттарды тұтыну лимиттерін (квоталарын) бекіту туралы" Қазақстан Республикасы Экология, геология және табиғи ресурстар министрінің 2020 жылғы 18 мамырдағы № 109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20671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Климаттық саясат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мемлекеттік тіркелгеннен кейін оныңҚазақстан Республикасы Экология және табиғи ресурстар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қауіпсіздік комитетінің Шекара қызметімен өзара іс-қимыл жасау кезінде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бақылауды қамтамасыз ету туралы Қазақстан Республикасы Қаржы министрлігінің Мемлекеттік кірістер комитетін хабардар етуді;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Еуразиялық экономикалық комиссияны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шараның енгізілгені туралы хабардар етуді қамтамасыз етсін.</w:t>
      </w:r>
    </w:p>
    <w:bookmarkStart w:name="z10"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3"/>
    <w:bookmarkStart w:name="z11"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150 бұйрығымен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2024-2025 жылдар кезеңіне арналған озонды бұзатын заттарды тұтыну лимиттері (квоталары)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 w:id="6"/>
    <w:p>
      <w:pPr>
        <w:spacing w:after="0"/>
        <w:ind w:left="0"/>
        <w:jc w:val="both"/>
      </w:pPr>
      <w:r>
        <w:rPr>
          <w:rFonts w:ascii="Times New Roman"/>
          <w:b w:val="false"/>
          <w:i w:val="false"/>
          <w:color w:val="000000"/>
          <w:sz w:val="28"/>
        </w:rPr>
        <w:t>
      Ескертпе:</w:t>
      </w:r>
    </w:p>
    <w:bookmarkEnd w:id="6"/>
    <w:bookmarkStart w:name="z15" w:id="7"/>
    <w:p>
      <w:pPr>
        <w:spacing w:after="0"/>
        <w:ind w:left="0"/>
        <w:jc w:val="both"/>
      </w:pPr>
      <w:r>
        <w:rPr>
          <w:rFonts w:ascii="Times New Roman"/>
          <w:b w:val="false"/>
          <w:i w:val="false"/>
          <w:color w:val="000000"/>
          <w:sz w:val="28"/>
        </w:rPr>
        <w:t xml:space="preserve">
      * цифрлар Еуразиялық экономикалық одағының мүше мемлекеттерге үшінші елдермен саудада әкелуге немесе әкетуге рұқсат беру тәртібі қолданылатын Тауарлардың бірыңғай тізбесінің 2.1-бөлімінің С тізімінде көрсетілген озонды бұзатын заттарға қатысты және Озон қабатын бұзатын заттар жөніндегі Монреаль хаттамасының Тараптары кеңесінің шешіміне сәйкес (№ XXIX/14, 2017 жыл) белгіленген. </w:t>
      </w:r>
    </w:p>
    <w:bookmarkEnd w:id="7"/>
    <w:p>
      <w:pPr>
        <w:spacing w:after="0"/>
        <w:ind w:left="0"/>
        <w:jc w:val="both"/>
      </w:pPr>
      <w:r>
        <w:rPr>
          <w:rFonts w:ascii="Times New Roman"/>
          <w:b w:val="false"/>
          <w:i w:val="false"/>
          <w:color w:val="000000"/>
          <w:sz w:val="28"/>
        </w:rPr>
        <w:t xml:space="preserve">
      Сыртқы сауда қызметінің қатысушылары арасында озонды бұзатын заттарды тұтынуға рұқсат етілген көлемін бөлу сыртқы сауда қызметінің і-ші қатысушысы 2020-2023 жылдары әкелген пропорционалды көлемге (Vi(2020), Vi(2021), Vi(2022), Vi(2023) жүзеге асырылады. </w:t>
      </w:r>
    </w:p>
    <w:p>
      <w:pPr>
        <w:spacing w:after="0"/>
        <w:ind w:left="0"/>
        <w:jc w:val="both"/>
      </w:pPr>
      <w:r>
        <w:rPr>
          <w:rFonts w:ascii="Times New Roman"/>
          <w:b w:val="false"/>
          <w:i w:val="false"/>
          <w:color w:val="000000"/>
          <w:sz w:val="28"/>
        </w:rPr>
        <w:t xml:space="preserve">
      Сыртқы сауда қызметінің і-ші қатысушысына озонды бұзатын заттардың тұтынуға рұқсат етілген көлемі сыртқы сауда қызметінің і-ші қатысушысы белгіленген тәртіппен берген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тіркеу тізілімінде № 11074 тіркелді) 2-қосымшаға сәйкес нысан бойынша лицензияны және (немесе) лицензияға қосымшаны алуға арналған өтініште (бұдан әрі – өтініш) көрсетілген көлемге қарамастан, озонды бұзатын заттарды тұтынуға рұқсат етілген көлемін есептеуге сәйкес есептелген көлемнен (Vi) аспауы тиіс.</w:t>
      </w:r>
    </w:p>
    <w:p>
      <w:pPr>
        <w:spacing w:after="0"/>
        <w:ind w:left="0"/>
        <w:jc w:val="both"/>
      </w:pPr>
      <w:r>
        <w:rPr>
          <w:rFonts w:ascii="Times New Roman"/>
          <w:b w:val="false"/>
          <w:i w:val="false"/>
          <w:color w:val="000000"/>
          <w:sz w:val="28"/>
        </w:rPr>
        <w:t>
      2024 жылдың ішінде белгіленген тәртіппен озон қабатын бұзатын заттарды тұтынуға өтінім берген сыртқы сауда қызметінің і-ші қатысушысы үшін озонды бұзатын заттарды тұтынуға рұқсат етілген көлемді (Vi) есептеу мына формула бойынша жүзеге асырылады:</w:t>
      </w:r>
    </w:p>
    <w:p>
      <w:pPr>
        <w:spacing w:after="0"/>
        <w:ind w:left="0"/>
        <w:jc w:val="both"/>
      </w:pPr>
      <w:r>
        <w:rPr>
          <w:rFonts w:ascii="Times New Roman"/>
          <w:b w:val="false"/>
          <w:i w:val="false"/>
          <w:color w:val="000000"/>
          <w:sz w:val="28"/>
        </w:rPr>
        <w:t>
      Vi=ki*Vжалпы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Vжалпы - мөлшерлік шектеумен белгіленген және 2024 жылда тұтынуға рұқсат етілген озонды бұзатын заттардың көлемі, тонна;</w:t>
      </w:r>
    </w:p>
    <w:p>
      <w:pPr>
        <w:spacing w:after="0"/>
        <w:ind w:left="0"/>
        <w:jc w:val="both"/>
      </w:pPr>
      <w:r>
        <w:rPr>
          <w:rFonts w:ascii="Times New Roman"/>
          <w:b w:val="false"/>
          <w:i w:val="false"/>
          <w:color w:val="000000"/>
          <w:sz w:val="28"/>
        </w:rPr>
        <w:t>
      ki - сыртқы сауда қызметінің әрбір қатысушысы үшін мына формула бойынша есептелген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Vi(2020) - сыртқы сауда қызметінің і-ші қатысушысы 2020 жылы әкелген озонды бұзатын заттардың көлемі, тонна;</w:t>
      </w:r>
    </w:p>
    <w:p>
      <w:pPr>
        <w:spacing w:after="0"/>
        <w:ind w:left="0"/>
        <w:jc w:val="both"/>
      </w:pPr>
      <w:r>
        <w:rPr>
          <w:rFonts w:ascii="Times New Roman"/>
          <w:b w:val="false"/>
          <w:i w:val="false"/>
          <w:color w:val="000000"/>
          <w:sz w:val="28"/>
        </w:rPr>
        <w:t>
      Vi(2021) - сыртқы сауда қызметінің і-ші қатысушысы 2021 жылы әкелген озонды бұзатын заттардың көлемі, тонна;</w:t>
      </w:r>
    </w:p>
    <w:p>
      <w:pPr>
        <w:spacing w:after="0"/>
        <w:ind w:left="0"/>
        <w:jc w:val="both"/>
      </w:pPr>
      <w:r>
        <w:rPr>
          <w:rFonts w:ascii="Times New Roman"/>
          <w:b w:val="false"/>
          <w:i w:val="false"/>
          <w:color w:val="000000"/>
          <w:sz w:val="28"/>
        </w:rPr>
        <w:t>
      Vi(2022) - сыртқы сауда қызметінің і-ші қатысушысы 2022 жылы әкелген озонды бұзатын заттардың көлемі, тонна;</w:t>
      </w:r>
    </w:p>
    <w:p>
      <w:pPr>
        <w:spacing w:after="0"/>
        <w:ind w:left="0"/>
        <w:jc w:val="both"/>
      </w:pPr>
      <w:r>
        <w:rPr>
          <w:rFonts w:ascii="Times New Roman"/>
          <w:b w:val="false"/>
          <w:i w:val="false"/>
          <w:color w:val="000000"/>
          <w:sz w:val="28"/>
        </w:rPr>
        <w:t>
      Vi(2023) - сыртқы сауда қызметінің і-ші қатысушысы 2023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w:t>
      </w:r>
      <w:r>
        <w:rPr>
          <w:rFonts w:ascii="Times New Roman"/>
          <w:b w:val="false"/>
          <w:i w:val="false"/>
          <w:color w:val="000000"/>
          <w:sz w:val="28"/>
        </w:rPr>
        <w:t>(2020) - сыртқы сауда қызметінің барлық қатысушылары 2020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w:t>
      </w:r>
      <w:r>
        <w:rPr>
          <w:rFonts w:ascii="Times New Roman"/>
          <w:b w:val="false"/>
          <w:i w:val="false"/>
          <w:color w:val="000000"/>
          <w:sz w:val="28"/>
        </w:rPr>
        <w:t>(2021) - сыртқы сауда қызметінің барлық қатысушылары 2021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w:t>
      </w:r>
      <w:r>
        <w:rPr>
          <w:rFonts w:ascii="Times New Roman"/>
          <w:b w:val="false"/>
          <w:i w:val="false"/>
          <w:color w:val="000000"/>
          <w:sz w:val="28"/>
        </w:rPr>
        <w:t>(2022) - сыртқы сауда қызметінің барлық қатысушылары 2022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w:t>
      </w:r>
      <w:r>
        <w:rPr>
          <w:rFonts w:ascii="Times New Roman"/>
          <w:b w:val="false"/>
          <w:i w:val="false"/>
          <w:color w:val="000000"/>
          <w:sz w:val="28"/>
        </w:rPr>
        <w:t>(2023) - сыртқы сауда қызметінің барлық қатысушылары 2023 жылы әкелген озонды бұзатын заттардың көлемі, тонна.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