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f719" w14:textId="4bf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мониторингінің шеңберінде әкімшілік деректер нысандарын бекіту туралы" Қазақстан Республикасы Білім және ғылым министрінің 2012 жылғы 27 желтоқсандағы № 570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29 маусымдағы № 168 бұйрығы. Қазақстан Республикасының Әділет министрлігінде 2024 жылғы 29 маусымда № 34684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мониторингінің шеңберінде әкімшілік деректер нысандарын бекіту туралы" Қазақстан Республикасы Білім және ғылым министрінің 2012 жылғы 27 желтоқсандағы № 570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8369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Білім беру мониторингі шеңберінде Қазақстан Республикасы Оқу-ағарту министрлігінің әкімшілік деректерінің нысандары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 98-қосымшаларға сәйкес бекітілсін.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Мектепке дейінгі, бастауыш, негізгі орта және жалпы орта, арнайы және мамандандырылған, қосымша, техникалық және кәсіптік және орта білімнен кейінгі білім беру, білім беру-сауықтыру, жетім балалар мен ата-анасының қамқорлығынсыз қалған балаларға арналған білім беру, меншік нысанына және ведомстволық бағыныстылығына қарамастан әкімшілік деректерді білім беру саласындағы ақпараттандыру объектілеріне беруді қамтамасыз етсін.";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98 қосымшамен толықтырылсын.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Цифрландыру және мемлекеттік қызметтерді автоматтандыру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жылдың 1 қаңтарынан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Ұсынылады: Қазақстан Республикасы Оқу-ағарту министрлігінің Тәрбие жұмысы және қосымша білім беру департаментіне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 www.gov.kz интернет қорында орналастырылған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Оқу-сауықтыру ұйымдарының мәліметтері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ОСҰ-1 нысан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20__-20__ оқу жылы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Облыстар, республикалық маңызы бар қалалар және астана әкімдіктерінің білім басқармалары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есепті кезеңнен кейінгі 31 қазанға дейін (қоса алғанда)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Лагерьдің немесе балалар сауықтыру орталығының 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сәйкестендіру номері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 берілген жылы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жалпы ауданы, шаршы 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 жалпы ауданы,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 қуаты, орын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 жазғы кезеңінде жұмыс істейтін немесе жұмыс істемейтін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Корпустар саны,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 қаржыландыру, миллион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лагерьлердің қызметі туралы мәлімет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бойғы лагерьлердің қызметі туралы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 ауысым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күндер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қамту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күндер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ауысымдағы балаларды қамту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күндер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ауысымдағы балаларды қамту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күндер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ауысымдағы балаларды қамту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қамту,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жолдама бойынша балалар санаты,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Тегін жолдама бойынша балалар санаты,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 құны,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жалпы қамту,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жолдама құны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жеңілдікті жолдама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жолдама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жолдама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Штаттық қызметкерлер саны,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 тегі, аты және әкесінің 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 орынбасарының тегі, аты және әкесінің 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Атауы                            Мекен-жайы____________________________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почта мекен-жайы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Орындаған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тегі, аты және әкесінің аты (болған жағдайда)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тегі, аты және әкесінің аты (болған жағдайда)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"Оқу-сауықтыру ұйымдарының мәліметтері" (Индекс: № ОСҰ -1, кезеңділігі – жылдық)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Нысанды толтыру бойынша түсініктеме: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лагерьдің немесе балалар сауықтыру орталығының атауы көрсетіледі.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лагерьдің немесе балалар сауықтыру орталығының мекен-жайы көрсетіледі.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бизнес сәйкестендіру номері көрсетіледі.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меншік нысаны көрсетіледі.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пайдалануға берілген жылы көрсетіледі.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ғимараттың жалпы ауданы, шаршы метр көрсетіледі.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аумақтың жалпы ауданы, гектар көрсетіледі.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жобалық қуаты көрсетіледі.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ағымдағы жылдың жазғы кезеңінде жұмыс істейтін немесе жұмыс істемейтіндігі көрсетіледі.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10-11 бағандарда күрделі жөндеуді жүргізу жылы және қаржыландыру көрсетіледі.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корпустар саны көрсетіледі.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13-21 бағандарда маусымдық лагерьлер үшін айлар бойынша ауысым саны, ауысымдағы күндер саны және 1 ауысымдағы балаларды қамту көрсетіледі.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22-24 бағандарда жыл бойғы лагерьлер үшін айлар бойынша ауысым саны, ауысымдағы күндер саны және 1 ауысымдағы балаларды қамту көрсетіледі.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25-27 бағандарда балаларды жеңілдікті және тегін жолдамалармен қамту көрсетіледі, адам.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28-бағанда жеңілдікті жолдама бойынша балалардың санаты көрсетіледі, адам.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29-бағанда тегін жолдама бойынша балалардың санаты көрсетіледі, адам.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30-31 бағандарда жолдаманың құны және 1 адамға жеңілдікті жолдаманың құны көрсетіледі, мың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32-34 бағандарда штаттық қызметкерлер саны көрсетіледі, адам.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35-бағанда басшының тегі, аты және әкесінің аты (бар болса) көрсетіледі.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36-бағанда басшының ұялы телефоны көрсетіледі.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37-бағанда басшының орынбасарының тегі, аты және әкесінің аты (бар болса) көрсетіледі.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38-бағанда басшының орынбасарының ұялы телефоны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