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348e" w14:textId="e133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232 және Қазақстан Республикасы Премьер-Министрінің орынбасары – Ұлттық экономика министрінің 2024 жылғы 29 маусымдағы № 57 бірлескен бұйрығы. Қазақстан Республикасының Әділет министрлігінде 2024 жылы 29 маусымда № 34683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Өсімдіктер карантині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4-тараумен толықтырылсын:</w:t>
      </w:r>
    </w:p>
    <w:bookmarkEnd w:id="1"/>
    <w:bookmarkStart w:name="z5" w:id="2"/>
    <w:p>
      <w:pPr>
        <w:spacing w:after="0"/>
        <w:ind w:left="0"/>
        <w:jc w:val="both"/>
      </w:pPr>
      <w:r>
        <w:rPr>
          <w:rFonts w:ascii="Times New Roman"/>
          <w:b w:val="false"/>
          <w:i w:val="false"/>
          <w:color w:val="000000"/>
          <w:sz w:val="28"/>
        </w:rPr>
        <w:t>
      "4-тарау. Өсімдіктер карантині саласындағы жедел ден қою шаралары</w:t>
      </w:r>
    </w:p>
    <w:bookmarkEnd w:id="2"/>
    <w:p>
      <w:pPr>
        <w:spacing w:after="0"/>
        <w:ind w:left="0"/>
        <w:jc w:val="both"/>
      </w:pPr>
      <w:r>
        <w:rPr>
          <w:rFonts w:ascii="Times New Roman"/>
          <w:b w:val="false"/>
          <w:i w:val="false"/>
          <w:color w:val="000000"/>
          <w:sz w:val="28"/>
        </w:rPr>
        <w:t>
      23. Осы өлшемшарттар шеңберінде қолданылатын жедел ден қою шараларына:</w:t>
      </w:r>
    </w:p>
    <w:p>
      <w:pPr>
        <w:spacing w:after="0"/>
        <w:ind w:left="0"/>
        <w:jc w:val="both"/>
      </w:pPr>
      <w:r>
        <w:rPr>
          <w:rFonts w:ascii="Times New Roman"/>
          <w:b w:val="false"/>
          <w:i w:val="false"/>
          <w:color w:val="000000"/>
          <w:sz w:val="28"/>
        </w:rPr>
        <w:t>
      1) карантинге жатқызылған өнімді (оның ішінде почта жөнелтілімдерінен, қол жүгінен және багаждан) алып қою немесе карантинге жатқызылған өнімді қайтару;</w:t>
      </w:r>
    </w:p>
    <w:p>
      <w:pPr>
        <w:spacing w:after="0"/>
        <w:ind w:left="0"/>
        <w:jc w:val="both"/>
      </w:pPr>
      <w:r>
        <w:rPr>
          <w:rFonts w:ascii="Times New Roman"/>
          <w:b w:val="false"/>
          <w:i w:val="false"/>
          <w:color w:val="000000"/>
          <w:sz w:val="28"/>
        </w:rPr>
        <w:t>
      2) қызметті немесе оның жекелеген түрлерін тоқтата тұру.</w:t>
      </w:r>
    </w:p>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13 және 14-тармақтарында көрсетілген талаптарды бұзу карантинге жатқызылған өнімді (оның ішінде почта жөнелтілімдерінен, қол жүгінен және багаждан) алып қою немесе карантинге жатқызылған өнімді қайтару түрінде жедел ден қою шараларын қолдану үшін негіз болып табылады.</w:t>
      </w:r>
    </w:p>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15 және 16-тармақтарында көрсетілген талаптарды бұзу карантинге жатқызылған өнімді (оның ішінде почта жөнелтілімдерінен, қол жүгінен және багаждан) алып қою түрінде жедел ден қою шараларын қолдану үшін негіз болып табылады.</w:t>
      </w:r>
    </w:p>
    <w:p>
      <w:pPr>
        <w:spacing w:after="0"/>
        <w:ind w:left="0"/>
        <w:jc w:val="both"/>
      </w:pPr>
      <w:r>
        <w:rPr>
          <w:rFonts w:ascii="Times New Roman"/>
          <w:b w:val="false"/>
          <w:i w:val="false"/>
          <w:color w:val="000000"/>
          <w:sz w:val="28"/>
        </w:rPr>
        <w:t>
      26. Бұзушылықтар қызметті немесе оның жекелеген түрлерін алты ай мерзімге тоқтата тұру түрінде жедел ден қою шараларын қолдану үшін негіз болып табылады:</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4-тармағында көрсетілген талаптар;</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4-қосымшаның</w:t>
      </w:r>
      <w:r>
        <w:rPr>
          <w:rFonts w:ascii="Times New Roman"/>
          <w:b w:val="false"/>
          <w:i w:val="false"/>
          <w:color w:val="000000"/>
          <w:sz w:val="28"/>
        </w:rPr>
        <w:t xml:space="preserve"> 2-тармағында көрсетілген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29 маусымдағы </w:t>
            </w:r>
            <w:r>
              <w:br/>
            </w:r>
            <w:r>
              <w:rPr>
                <w:rFonts w:ascii="Times New Roman"/>
                <w:b w:val="false"/>
                <w:i w:val="false"/>
                <w:color w:val="000000"/>
                <w:sz w:val="20"/>
              </w:rPr>
              <w:t xml:space="preserve">№ 57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232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5" w:id="8"/>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ведомствосының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29 маусымдағы </w:t>
            </w:r>
            <w:r>
              <w:br/>
            </w:r>
            <w:r>
              <w:rPr>
                <w:rFonts w:ascii="Times New Roman"/>
                <w:b w:val="false"/>
                <w:i w:val="false"/>
                <w:color w:val="000000"/>
                <w:sz w:val="20"/>
              </w:rPr>
              <w:t xml:space="preserve">№ 57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232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8" w:id="9"/>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29 маусымдағы </w:t>
            </w:r>
            <w:r>
              <w:br/>
            </w:r>
            <w:r>
              <w:rPr>
                <w:rFonts w:ascii="Times New Roman"/>
                <w:b w:val="false"/>
                <w:i w:val="false"/>
                <w:color w:val="000000"/>
                <w:sz w:val="20"/>
              </w:rPr>
              <w:t xml:space="preserve">№ 57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232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21" w:id="10"/>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10"/>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29 маусымдағы </w:t>
            </w:r>
            <w:r>
              <w:br/>
            </w:r>
            <w:r>
              <w:rPr>
                <w:rFonts w:ascii="Times New Roman"/>
                <w:b w:val="false"/>
                <w:i w:val="false"/>
                <w:color w:val="000000"/>
                <w:sz w:val="20"/>
              </w:rPr>
              <w:t xml:space="preserve">№ 57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2024 жылғы 28 маусымдағы </w:t>
            </w:r>
            <w:r>
              <w:br/>
            </w:r>
            <w:r>
              <w:rPr>
                <w:rFonts w:ascii="Times New Roman"/>
                <w:b w:val="false"/>
                <w:i w:val="false"/>
                <w:color w:val="000000"/>
                <w:sz w:val="20"/>
              </w:rPr>
              <w:t>№ 232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24" w:id="11"/>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11"/>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