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e4eb" w14:textId="f8ee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2021 жылғы 10 наурыздағы № 63 бұйрығына өзгерістер енгізу</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28 маусымдағы № 146 бұйрығы. Қазақстан Республикасының Әділет министрлігінде 2024 жылғы 28 маусымда № 34651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министрінің "Қоршаған ортаға эмиссиялар нормативтерін айқындау әдістемесін бекіту туралы" 2021 жылғы 10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 нормативтерін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Егер сарқынды сулардың соңғы су қабылдағышы ретінде тұйық типті жинақтауыш болған жағдайда, яғни суаруға арналған ашық су алу болмағанда немесе жинақтауыш сарқындарының бір бөлігінің төгінділерін өзендерге немесе басқа табиғат объектілеріне тастау жүзеге асырылмағанда, рұқсат етілген шоғырлануының есебі мына формула бойынша жүргізіледі:</w:t>
      </w:r>
    </w:p>
    <w:p>
      <w:pPr>
        <w:spacing w:after="0"/>
        <w:ind w:left="0"/>
        <w:jc w:val="both"/>
      </w:pPr>
      <w:r>
        <w:rPr>
          <w:rFonts w:ascii="Times New Roman"/>
          <w:b w:val="false"/>
          <w:i w:val="false"/>
          <w:color w:val="000000"/>
          <w:sz w:val="28"/>
        </w:rPr>
        <w:t>
      СЖБТ = С нақты , (18)</w:t>
      </w:r>
    </w:p>
    <w:p>
      <w:pPr>
        <w:spacing w:after="0"/>
        <w:ind w:left="0"/>
        <w:jc w:val="both"/>
      </w:pPr>
      <w:r>
        <w:rPr>
          <w:rFonts w:ascii="Times New Roman"/>
          <w:b w:val="false"/>
          <w:i w:val="false"/>
          <w:color w:val="000000"/>
          <w:sz w:val="28"/>
        </w:rPr>
        <w:t>
      мұнда Снақты - тазарту құрылғыларынан кейінгі ластаушы заттардың нақты төгіндісі, мг/л.</w:t>
      </w:r>
    </w:p>
    <w:bookmarkStart w:name="z5" w:id="3"/>
    <w:p>
      <w:pPr>
        <w:spacing w:after="0"/>
        <w:ind w:left="0"/>
        <w:jc w:val="both"/>
      </w:pPr>
      <w:r>
        <w:rPr>
          <w:rFonts w:ascii="Times New Roman"/>
          <w:b w:val="false"/>
          <w:i w:val="false"/>
          <w:color w:val="000000"/>
          <w:sz w:val="28"/>
        </w:rPr>
        <w:t>
      Жинақтауыш мұндай жағдайда сарқынды сулардың жинақтауыш-буландырғышы ретінде пайдаланылады.</w:t>
      </w:r>
    </w:p>
    <w:bookmarkEnd w:id="3"/>
    <w:bookmarkStart w:name="z6" w:id="4"/>
    <w:p>
      <w:pPr>
        <w:spacing w:after="0"/>
        <w:ind w:left="0"/>
        <w:jc w:val="both"/>
      </w:pPr>
      <w:r>
        <w:rPr>
          <w:rFonts w:ascii="Times New Roman"/>
          <w:b w:val="false"/>
          <w:i w:val="false"/>
          <w:color w:val="000000"/>
          <w:sz w:val="28"/>
        </w:rPr>
        <w:t>
      Шахта және карьер суларын тұйық жинақтағыш тоғандарға және (немесе) буландырғыш тоғандарға төгу кезінде рұқсат етілген төгінділер көлемін анықтау үшін есептеу шарттары өткен үш жылдың нақты деректерінің (карьердің және (немесе) шахта сулалырың фондық жай-күйінің ластаушы заттары бойынша) ең жоғары мәндері негізінде таңдалады, белгіленіп отырған қызметтің нәтижесінде әкелінетін қалған ластаушы заттар бойынша қолданылады.".</w:t>
      </w:r>
    </w:p>
    <w:bookmarkEnd w:id="4"/>
    <w:bookmarkStart w:name="z7"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