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0ba7b" w14:textId="570ba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саласындағы субъектілерге қатысты тексеру жүргізу кезіндегі сәулет, қала құрылысы және құрылыс саласындағы тәуекел дәрежесін бағалау өлшемшарттарын және тексеру парақтарын бекіту туралы" Қазақстан Республикасы Инвестициялар және даму министрінің 2018 жылғы 19 қарашадағы № 807 және Қазақстан Республикасы Ұлттық экономика министрінің 2018 жылғы 26 қарашадағы № 81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2024 жылғы 26 маусымдағы № 231 және Қазақстан Республикасы Ұлттық экономика министрінің м.а. 2024 жылғы 26 маусымдағы № 44 бірлескен бұйрығы. Қазақстан Республикасының Әділет министрлігінде 2024 жылы 27 маусымда № 34619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"Сәулет, қала құрылысы және құрылыс саласындағы субъектілерге қатысты тексеру жүргізу кезіндегі сәулет, қала құрылысы және құрылыс саласындағы тәуекел дәрежесін бағалау өлшемшарттарын және тексеру парақтарын бекіту туралы" Қазақстан Республикасы Инвестициялар және даму министрінің 2018 жылғы 19 қарашадағы № 807 және Қазақстан Республикасы Ұлттық экономика министрінің 2018 жылғы 26 қарашадағы № 81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17818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141</w:t>
      </w:r>
      <w:r>
        <w:rPr>
          <w:rFonts w:ascii="Times New Roman"/>
          <w:b w:val="false"/>
          <w:i w:val="false"/>
          <w:color w:val="000000"/>
          <w:sz w:val="28"/>
        </w:rPr>
        <w:t xml:space="preserve"> және </w:t>
      </w:r>
      <w:r>
        <w:rPr>
          <w:rFonts w:ascii="Times New Roman"/>
          <w:b w:val="false"/>
          <w:i w:val="false"/>
          <w:color w:val="000000"/>
          <w:sz w:val="28"/>
        </w:rPr>
        <w:t>143-баптарына</w:t>
      </w:r>
      <w:r>
        <w:rPr>
          <w:rFonts w:ascii="Times New Roman"/>
          <w:b w:val="false"/>
          <w:i w:val="false"/>
          <w:color w:val="000000"/>
          <w:sz w:val="28"/>
        </w:rPr>
        <w:t xml:space="preserve"> және "Қазақстан Республикасындағы сәулет, қала құрылысы және құрылыс қызметі туралы" Қазақстан Республикасы Заңының 20-бабының </w:t>
      </w:r>
      <w:r>
        <w:rPr>
          <w:rFonts w:ascii="Times New Roman"/>
          <w:b w:val="false"/>
          <w:i w:val="false"/>
          <w:color w:val="000000"/>
          <w:sz w:val="28"/>
        </w:rPr>
        <w:t>23-31) тармақшасына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18) тармақшасы</w:t>
      </w:r>
      <w:r>
        <w:rPr>
          <w:rFonts w:ascii="Times New Roman"/>
          <w:b w:val="false"/>
          <w:i w:val="false"/>
          <w:color w:val="000000"/>
          <w:sz w:val="28"/>
        </w:rPr>
        <w:t xml:space="preserve"> мынадай редакцияда жазылсын:</w:t>
      </w:r>
    </w:p>
    <w:bookmarkEnd w:id="3"/>
    <w:bookmarkStart w:name="z6" w:id="4"/>
    <w:p>
      <w:pPr>
        <w:spacing w:after="0"/>
        <w:ind w:left="0"/>
        <w:jc w:val="both"/>
      </w:pPr>
      <w:r>
        <w:rPr>
          <w:rFonts w:ascii="Times New Roman"/>
          <w:b w:val="false"/>
          <w:i w:val="false"/>
          <w:color w:val="000000"/>
          <w:sz w:val="28"/>
        </w:rPr>
        <w:t>
      "18) осы бірлескен бұйрыққа 21-қосымшаға сәйкес сәулет, қала құрылысы және құрылыс саласындағы құрылыс жобаларына ведомстводан тыс кешенді сараптама жүргізетін заңды тұлғаларға қатысты талаптарға сәйкестігін тексеру парағы;";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19) тармақпен толықтырылсын:</w:t>
      </w:r>
    </w:p>
    <w:bookmarkStart w:name="z8" w:id="5"/>
    <w:p>
      <w:pPr>
        <w:spacing w:after="0"/>
        <w:ind w:left="0"/>
        <w:jc w:val="both"/>
      </w:pPr>
      <w:r>
        <w:rPr>
          <w:rFonts w:ascii="Times New Roman"/>
          <w:b w:val="false"/>
          <w:i w:val="false"/>
          <w:color w:val="000000"/>
          <w:sz w:val="28"/>
        </w:rPr>
        <w:t>
      "19) осы бірлескен бұйрыққа 22-қосымшаға сәйкес бұзылуы жедел ден қою шараларын қолдануға алып келетін талаптардың, сондай-ақ талаптарды нақты бұзушылықтарға қатысты жедел ден қою шарасының нақты түрін осы шараның қолданылу мерзімін көрсете отырып айқындау (қажет болған кезде) тізбесі бекітілсін.";</w:t>
      </w:r>
    </w:p>
    <w:bookmarkEnd w:id="5"/>
    <w:bookmarkStart w:name="z9" w:id="6"/>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22-қосымшамен толықтырылсын.</w:t>
      </w:r>
    </w:p>
    <w:bookmarkEnd w:id="6"/>
    <w:bookmarkStart w:name="z10" w:id="7"/>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7"/>
    <w:bookmarkStart w:name="z11" w:id="8"/>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8"/>
    <w:bookmarkStart w:name="z12" w:id="9"/>
    <w:p>
      <w:pPr>
        <w:spacing w:after="0"/>
        <w:ind w:left="0"/>
        <w:jc w:val="both"/>
      </w:pPr>
      <w:r>
        <w:rPr>
          <w:rFonts w:ascii="Times New Roman"/>
          <w:b w:val="false"/>
          <w:i w:val="false"/>
          <w:color w:val="000000"/>
          <w:sz w:val="28"/>
        </w:rPr>
        <w:t>
      2) осы бірлескен бұйрықты Қазақстан Республикасы Өнеркәсіп және құрылыс министрлігінің интернет-ресурсында орналастыруды қамтамасыз етсін.</w:t>
      </w:r>
    </w:p>
    <w:bookmarkEnd w:id="9"/>
    <w:bookmarkStart w:name="z13" w:id="10"/>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Өнеркәсіп және құрылыс вице-министріне жүктелсін.</w:t>
      </w:r>
    </w:p>
    <w:bookmarkEnd w:id="10"/>
    <w:bookmarkStart w:name="z14" w:id="11"/>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Омарбеков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Кажкенов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xml:space="preserve">
      Құқықтық статистика және </w:t>
      </w:r>
    </w:p>
    <w:p>
      <w:pPr>
        <w:spacing w:after="0"/>
        <w:ind w:left="0"/>
        <w:jc w:val="both"/>
      </w:pPr>
      <w:r>
        <w:rPr>
          <w:rFonts w:ascii="Times New Roman"/>
          <w:b w:val="false"/>
          <w:i w:val="false"/>
          <w:color w:val="000000"/>
          <w:sz w:val="28"/>
        </w:rPr>
        <w:t>
      арнайы есепке алу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 xml:space="preserve">2024 жылғы 26 маусымдағы </w:t>
            </w:r>
            <w:r>
              <w:br/>
            </w:r>
            <w:r>
              <w:rPr>
                <w:rFonts w:ascii="Times New Roman"/>
                <w:b w:val="false"/>
                <w:i w:val="false"/>
                <w:color w:val="000000"/>
                <w:sz w:val="20"/>
              </w:rPr>
              <w:t>№ 44 мен</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атқарушысының</w:t>
            </w:r>
            <w:r>
              <w:br/>
            </w:r>
            <w:r>
              <w:rPr>
                <w:rFonts w:ascii="Times New Roman"/>
                <w:b w:val="false"/>
                <w:i w:val="false"/>
                <w:color w:val="000000"/>
                <w:sz w:val="20"/>
              </w:rPr>
              <w:t>2024 жылғы 26 маусымдағы</w:t>
            </w:r>
            <w:r>
              <w:br/>
            </w:r>
            <w:r>
              <w:rPr>
                <w:rFonts w:ascii="Times New Roman"/>
                <w:b w:val="false"/>
                <w:i w:val="false"/>
                <w:color w:val="000000"/>
                <w:sz w:val="20"/>
              </w:rPr>
              <w:t>№ 231 Бірлескен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 xml:space="preserve">2018 жылғы 19 қарашадағы </w:t>
            </w:r>
            <w:r>
              <w:br/>
            </w:r>
            <w:r>
              <w:rPr>
                <w:rFonts w:ascii="Times New Roman"/>
                <w:b w:val="false"/>
                <w:i w:val="false"/>
                <w:color w:val="000000"/>
                <w:sz w:val="20"/>
              </w:rPr>
              <w:t>№ 807 және</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2018 жылғы 26 қарашадағы </w:t>
            </w:r>
            <w:r>
              <w:br/>
            </w:r>
            <w:r>
              <w:rPr>
                <w:rFonts w:ascii="Times New Roman"/>
                <w:b w:val="false"/>
                <w:i w:val="false"/>
                <w:color w:val="000000"/>
                <w:sz w:val="20"/>
              </w:rPr>
              <w:t>№ 81 бірлескен бұйрығына</w:t>
            </w:r>
            <w:r>
              <w:br/>
            </w:r>
            <w:r>
              <w:rPr>
                <w:rFonts w:ascii="Times New Roman"/>
                <w:b w:val="false"/>
                <w:i w:val="false"/>
                <w:color w:val="000000"/>
                <w:sz w:val="20"/>
              </w:rPr>
              <w:t>22-қосымша</w:t>
            </w:r>
          </w:p>
        </w:tc>
      </w:tr>
    </w:tbl>
    <w:bookmarkStart w:name="z17" w:id="12"/>
    <w:p>
      <w:pPr>
        <w:spacing w:after="0"/>
        <w:ind w:left="0"/>
        <w:jc w:val="left"/>
      </w:pPr>
      <w:r>
        <w:rPr>
          <w:rFonts w:ascii="Times New Roman"/>
          <w:b/>
          <w:i w:val="false"/>
          <w:color w:val="000000"/>
        </w:rPr>
        <w:t xml:space="preserve"> Бұзылуы жедел ден қою шараларын қолдануға алып келетін талаптардың, сондай-ақ талаптарды нақты бұзушылықтарға қатысты жедел ден қою шарасының нақты түрін осы шараның қолданылу мерзімін көрсете отырып айқындау (қажет болған кезде)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 қойылатын талаптардың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шарасы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шарасының қолданылу мерзімі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берушіге (құрылыс салушыға) қатысты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берушіде (құрылыс салушыда) жер учаскесіне (құрылысқа арналған алаңға немесе трассаға) құқық белгілейтін құжаттың немесе оны беру туралы жергілікті атқарушы орган шешімінің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қолданыстағы ғимараттардың тұрғын және тұрғын емес үй-жайларын реконструкциялауға (қайта жоспарлауға, қайта жабдықтауға) арналған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бекітілген жобалау құжаттамасына сәйкес және аумақтың нысаналы мақсатын немесе сервитутын, аймақтарға бөлінуін, құрылыс салуды реттеудің қызыл сызығын және сары сызығын сақтай отырып, құрылыс салу үшін (коммуникациялар төсеуді, аумақты инженерлiк жағынан дайындауды, абаттандыруды, көгалдандыруды және учаскенi жайғастырудың басқа да түрлерiн қоса алғанда)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(орындалып жатқан) құрылыс-монтаждау жұмыстарының, қолданылатын құрылыс материалдарының (бұйымдарының, конструкцияларының) және жабдықтардың бекiтiлген жобалық шешiмдерге және мемлекеттiк (мемлекетаралық) нормативтерге, оның iшiнде тiреу және қоршау конструкцияларының берiктiгін, орнықтылығын, сенiмдiлiгiн және үйлердің (ғимараттардың) пайдалану сапасын қамтамасыз ету жөнiндегi нормативтерге сәйкестiгi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желілері әуе және байланыс желілері аймағында, темір жолға бөлінген белдеуде, құрылыс алаңында орналасқан тау-кен жұмыстарының жер учаскелерін өңдеу аймақтарында жұмыстар жүргізуге тиісті ұйымның рұқсатының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жобалау-сметалық құжаттаманың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сараптамасының оң қорытындысының, оның ішінде түзетілген кезде жобалар сараптамасының қайта қорытындысының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бірінші немесе екінші жауапкершілік деңгейіндегі техникалық және технологиялық жағынан күрделі объектілерге жатқызылған жағдайда техникалық қадағалау бойынша инжинирингтік қызметтерді жүзеге асыратын аккредиттелген заңды тұлғалармен шарттың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және үшінші жауапкершілік деңгейіндегі техникалық жағынан күрделі емес объектілерде қызметті жүзеге асыратын техникалық қадағалау сарапшысының аттестаты бар жеке тұлғамен шарттың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(жобалау-сметалық) құжаттаманы әзірлеген тұлғамен (жобаны әзірлеушімен немесе аттестатталған сарапшымен) авторлық қадағалауды жүзеге асыруға шарттың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бөлшектеу және бұзу (кәдеге жаратудан кейін) кезінде жобалау (жобалық-сметалық) құжаттаманың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жобалау (жобалау-сметалық) құжаттамадан және нормативтік талаптардан ауытқумен жүзеге асырылған жағдайда оларды тоқтата тұруды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жобалау-сметалық құжаттамадан ауытқыған кезде келісудің және растайтын құжаттардың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және халықтың жүріп-тұруы шектеулі топтары үшін объектінің қолжетімділігін қамтамасыз ету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Жобалаушы ұйымға (бас жобалаушыға) қатысты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алаңының инженерлік-геологиялық жағдайларын ескермей, автопаркингтер, гараждар мен тұрғын және қоғамдық ғимараттардың инженерлік жабдықтарын орналастыру үшін жерасты кеңістігін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материалдардың талаптарын (сәулет-жоспарлау тапсырмасы, тік жоспарлау белгілері, егжей-тегжейлі жоспарлау жобасынан алынған үзінді көшірме, жолдар мен көшелердің көлденең қималары, техникалық шарттар, сыртқы инженерлік желілер трассасының схемалары, сауалнама парағы және топографиялық түсірілім) ескермей, қолданыстағы ғимараттар мен құрылыстардың үй-жайларын (жекелеген бөліктерін) салу және реконструкциялау (қайта жоспарлау, қайта жабдықтау) жобаларын, оның ішінде тіреу және қоршау конструкцияларын, инженерлік жүйелері мен жабдықтарын өзгертуге байланысты жобаларды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объектінің беріктігіне, орнықтылығына және сенімділігіне тікелей әсер ететін бұзушылықтармен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немесе оның жекелеген түрлерін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Мердігерге (бас мердігерге) қатысты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(қайта бекітілген) жобалау-сметалық құжаттаманың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(орындалып жатқан) құрылыс-монтаждау жұмыстарының, қолданылатын құрылыс материалдарының (бұйымдарының, конструкцияларының) және жабдықтардың бекiтiлген жобалық шешiмдерге және мемлекеттiк (мемлекетаралық) нормативтерге, оның iшiнде тiреу және қоршау конструкцияларының берiктiгін, орнықтылығын, сенiмдiлiгiн және үйлердің (ғимараттардың) пайдалану сапасын қамтамасыз ету жөнiндегi нормативтерге сәйкестiгi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немесе оның жекелеген түрлерін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техникалық құжаттаманың тиісті және уақтылы жүргізілуін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"Сейсмикаға төзiмдi құрылыс" курсы бойынша (сейсмикалық аудандарда құрылыс жүргізілген жағдайда) қолданыстағы куәліктің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 және авторлық қадағалау журналына енгізілген нұсқаулардың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жобалау құжаттамасынан ауытқыған кезде келісудің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 ескерілген жобалау-сметалық құжаттама бойынша сараптама қорытындысының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қадағалауды жүзеге асыратын тұлғаларға қатысты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жасырын жұмыстарды куәландыру және жауапты конструкцияларды аралық қабылдау актілерінің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берушіге және мемлекеттік сәулет-құрылыс бақылау және қадағалау органдарының бөлімшесіне мердігердің авторлық қадағалаудың нұсқауларын орындамағаны немесе тиісінше орындамағаны туралы ақпарат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(орындалып жатқан) құрылыс-монтаждау жұмыстарының, қолданылатын құрылыс материалдарының (бұйымдарының, конструкцияларының) және жабдықтардың бекiтiлген жобалық шешiмдерге және мемлекеттiк (мемлекетаралық) нормативтерге, оның iшiнде тiреу және қоршау конструкцияларының берiктiгін, орнықтылығын, сенiмдiлiгiн және үйлердің (ғимараттардың) пайдалану сапасын қамтамасыз ету жөнiндегi нормативтерге сәйкестiгi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немесе оның жекелеген түрлерін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белгі қойған кезде автор және (немесе) жобаны әзірлеуші немесе авторлық қадағалауды жүзеге асыратын сарапшы орындалған жұмыстардың сәйкессіздігін анықтаған сәттен бастап күнтізбелік бес күннің ішінде тапсырыс берушіге, мердігерге және мемлекеттік сәулет-құрылыс инспекциясына ол туралы жазбаша нысанда ескерту, ақпарат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немесе оның жекелеген түрлерін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асыратын заңды және жеке тұлғаларға қатысты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жобалау (жобалау-сметалық) құжаттаманың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сараптаманың оң қорытындысының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ұйымда лицензияланатын сәулет, қала құрылысы және құрылыс қызметiнiң тиiстi түрлерiн жүзеге асыру құқығына лицензияның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(орындалып жатқан) құрылыс-монтаждау жұмыстарының, қолданылатын құрылыс материалдарының (бұйымдарының, конструкцияларының) және жабдықтардың бекiтiлген жобалық шешiмдерге және мемлекеттiк (мемлекетаралық) нормативтерге, оның iшiнде тiреу және қоршау конструкцияларының берiктiгін, орнықтылығын, сенiмдiлiгiн және үйлердің (ғимараттардың) пайдалану сапасын қамтамасыз ету жөнiндегi нормативтерге сәйкестiгi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немесе оның жекелеген түрлерін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 журналының бар-жоғы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мерзімдерде нұсқауларды орындау үшін құрылыс-монтаждау жұмыстарын тоқтата тұру құқығымен, мердігердің (бас мердігердің) құрылыс барысында өзі жол берген мемлекеттік (мемлекетаралық) нормативтерді бұзушылықтарды, бекітілген жобада көзделген жобалық шешімдерден және (немесе) ұйымдық-технологиялық құжаттардың талаптарынан ауытқуларды міндетті түрде жоюы туралы жазбаша нұсқаулардың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техникалық қадағалаудың нұсқауларын орындамағаны немесе тиісінше орындамағаны туралы тапсырыс берушіге және мемлекеттік сәулет-құрылыс бақылау және қадағалау органдарының бөлімшесіне ақпарат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немесе оның жекелеген түрлерін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сапасы туралы қорытындының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ұйымдарға қатысты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тексеру жүргізген барлық аттестатталған сарапшылар қолының бар-жоғы, сондай-ақ сарапшылардың дербес мөртабандарын ұсыну және ұйым беретін ғимараттар мен құрылыстардың сенімділігі мен тұрақтылығын техникалық тексеру жөніндегі сараптама қорытындысын ұйымның бірінші басшысының бекітуі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сенімділігін және орнықтылығын техникалық зерттеп-қарау бойынша бекітілген құрылыс нормаларының талаптарын бұза отырып орындалған және ғимараттардың, құрылыстардың, олардың бөліктерінің немесе жекелеген конструкциялық элементтерінің пайдалану сапасын нашарлатуға, олардың беріктігін, орнықтылығын төмендетуге әкеп соғуы мүмкін дұрыс емес деректерді қамтитын қорытынды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құрылысының жобаларына ведомстводан тыс кешенді сараптама жүргізетін заңды тұлғаларына қатысты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Тұрғызылатын не тұрғызылған объектілердің орнықтылығын, сенімділігін және беріктігін қамтамасыз етпейтін жобалық (жобалау-сметалық) құжаттамаға сараптаманың (сараптамалық бағаның) оң қорытындысын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немесе оның жекелеген түрлерін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күн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