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3f54" w14:textId="af73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м.а. 2024 жылғы 26 маусымдағы № 267-НҚ және Қазақстан Республикасы Ұлттық экономика министрінің м.а. 2024 жылғы 26 маусымдағы № 41 бірлескен бұйрығы. Қазақстан Республикасының Әділет министрлігінде 2024 жылы 27 маусымда № 34604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12735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техникалық реттеу саласындағы бақылау және қадағалау субъектілерін (объектілерін) іріктеу үшін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мынадай мазмұндағы 4-1-тараумен толықтырылсын:</w:t>
      </w:r>
    </w:p>
    <w:bookmarkEnd w:id="1"/>
    <w:bookmarkStart w:name="z9" w:id="2"/>
    <w:p>
      <w:pPr>
        <w:spacing w:after="0"/>
        <w:ind w:left="0"/>
        <w:jc w:val="both"/>
      </w:pPr>
      <w:r>
        <w:rPr>
          <w:rFonts w:ascii="Times New Roman"/>
          <w:b w:val="false"/>
          <w:i w:val="false"/>
          <w:color w:val="000000"/>
          <w:sz w:val="28"/>
        </w:rPr>
        <w:t>
      "4-1-тарау. Техникалық реттеу саласындағы жедел ден қою шаралары";</w:t>
      </w:r>
    </w:p>
    <w:bookmarkEnd w:id="2"/>
    <w:bookmarkStart w:name="z10" w:id="3"/>
    <w:p>
      <w:pPr>
        <w:spacing w:after="0"/>
        <w:ind w:left="0"/>
        <w:jc w:val="both"/>
      </w:pPr>
      <w:r>
        <w:rPr>
          <w:rFonts w:ascii="Times New Roman"/>
          <w:b w:val="false"/>
          <w:i w:val="false"/>
          <w:color w:val="000000"/>
          <w:sz w:val="28"/>
        </w:rPr>
        <w:t>
      мынадай мазмұндағы 16-1, 16-2 және 16-3-тармақтармен толтырылсын:</w:t>
      </w:r>
    </w:p>
    <w:bookmarkEnd w:id="3"/>
    <w:bookmarkStart w:name="z11" w:id="4"/>
    <w:p>
      <w:pPr>
        <w:spacing w:after="0"/>
        <w:ind w:left="0"/>
        <w:jc w:val="both"/>
      </w:pPr>
      <w:r>
        <w:rPr>
          <w:rFonts w:ascii="Times New Roman"/>
          <w:b w:val="false"/>
          <w:i w:val="false"/>
          <w:color w:val="000000"/>
          <w:sz w:val="28"/>
        </w:rPr>
        <w:t>
      "16-1. Жедел ден қою шараларын қолдануға негіз болып табылатын талаптардың тізбесі осы бірлескен бұйрықтың 5-қосымшаға сәйкес тексеру парақтарында, осы бірлескен бұйрықпен бекітілген келтірілген.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16-2.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парағында көрсетілген тармақтарын 17, 27, 29, 32, 33, 34, 50, 51, 54, 57, 73, 76, 103, 105, 140, 163, 164, 172, 181, 182, 187, 192, 197, 202, 234, 235, 238, 243, 245, 247, 253, 254, 259, 285, 289, 290, 292, 293, 295, 303, 304, 333, 346, 364, 380, 396, 397, 458, 464, 487, 500, 560, 566, 572, 582, 602, 606, 637, 640, 662 және 663 бұзу негіз болып табылатын отыз күнтізбелік күн мерзімге тыйым салу түріндегі жедел ден қою шараларын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16-3.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техникалық реттеу жүйесінің құрылымына кіретін техникалық реттеу субъектілеріне, сондай-ақ техникалық реттеу объектілеріне қатысты Қазақстан Республикасының азаматтық заңнамасына сәйкес иелену, пайдалану және (немесе) билік ету құқығына ие жеке және заңды тұлғаларға қатысты техникалық реттеу саласындағы тексеру парағында көрсетілген тармақтарын 24, 77, 93, 96, 155, 166, 168, 186, 190, 210, 225, 233, 242, 244, 255, 294, 293, 309, 342, 361, 372, 373, 382, 389, 429, 467, 486, 492, 558, 562, 579, 581, 615, 659, 666 и 680 бұзу негіз болып табылатын алып қою түріндегі жедел ден қою шараларын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Өлшемшарттағы </w:t>
      </w:r>
      <w:r>
        <w:rPr>
          <w:rFonts w:ascii="Times New Roman"/>
          <w:b w:val="false"/>
          <w:i w:val="false"/>
          <w:color w:val="000000"/>
          <w:sz w:val="28"/>
        </w:rPr>
        <w:t>5-қосымшада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реттік нөмірлері 602, 603, 604, 605 және 606-жолдар мынадай редакцияда жазылсын:</w:t>
      </w:r>
    </w:p>
    <w:bookmarkEnd w:id="5"/>
    <w:bookmarkStart w:name="z16"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айналысқа шығару кезінде құрылыс материалдары мен бұйымдары сәйкестік сертификатымен немесе сәйкестік туралы декларациямен бірге жүретін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Сатылатын құрылыс материалдары мен бұйымдары (оның ішінде импортталатын):</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 сақтау немесе жарамдылық мерзімі өтіп кетпеген (бар болса), ыдысы және қорабы бүлінбеген (нормативтік құжаттар талаптарына сәйкес), пайдалану құжаттамасының толық жиынтығымен болады.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сәйкессіздігі туралы ақпарат алынған болса, өткізілмейді (сатылмайды);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 келтірудің ықтимал тәуекелдерін бағалау және олардың тиісті қауіпсіздік шараларын қабылдауы үшін тұтынушы үшін ілеспе құжаттамамен (пайдалану жөніндегі нұсқаулық, сапа паспорты, сәйкестік сертификаты немесе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3) оларды сату кезіндегі іс-қимылы тәртібі туралы, кейіннен тексеру мақсатында тұтынушылардың шағымдарын тіркеу туралы сатушыларға арналған ақпаратпен қамтамасыз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Сәйкестік белгісі сертификатталатын өнімнің әрбір бірлігіне қойылатын талаптарды сақтау.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Қапталмаған құрылыс материалдары мен бұйымдарының сәйкестік белгісімен таңбалау оларға тікелей жазылады, сондай-ақ қоса беріліп отырған пайдалану құжаттарында келтіріледі.</w:t>
            </w:r>
          </w:p>
          <w:p>
            <w:pPr>
              <w:spacing w:after="20"/>
              <w:ind w:left="20"/>
              <w:jc w:val="both"/>
            </w:pPr>
            <w:r>
              <w:rPr>
                <w:rFonts w:ascii="Times New Roman"/>
                <w:b w:val="false"/>
                <w:i w:val="false"/>
                <w:color w:val="000000"/>
                <w:sz w:val="20"/>
              </w:rPr>
              <w:t>
 Буып түйілген құрылыс материалдары мен бұйымдарының сәйкестік белгісімен таңбалау қаптамаға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xml:space="preserve">
Құрылыс материалдары мен бұйымдарында мынадай мазмұндағы болатын таңбалау талаптарды сақтау: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тауарлардың жарамдылық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дайындаушы және (немесе) дайындаушы уәкілеттік берген тұлға және (немесе) импорттаушы туралы ақпарат (компаниялардың атауы немесе ЖК ТАӘ, олардың заңды мекенжайлары);</w:t>
            </w:r>
          </w:p>
          <w:p>
            <w:pPr>
              <w:spacing w:after="20"/>
              <w:ind w:left="20"/>
              <w:jc w:val="both"/>
            </w:pPr>
            <w:r>
              <w:rPr>
                <w:rFonts w:ascii="Times New Roman"/>
                <w:b w:val="false"/>
                <w:i w:val="false"/>
                <w:color w:val="000000"/>
                <w:sz w:val="20"/>
              </w:rPr>
              <w:t>
Қазақстан Республикасының немесе ЕАЭО заңнамасы шеңберінде тауарларға рұқсат құжаттары (сертификаттар / декларациялар) алынғанын куәландыратын өтініш белгісі (қажет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ілеспе құжаттамасы мен таңбалануының мемлекеттік және орыс тілдерінде жүргізілуі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10"/>
    <w:p>
      <w:pPr>
        <w:spacing w:after="0"/>
        <w:ind w:left="0"/>
        <w:jc w:val="both"/>
      </w:pPr>
      <w:r>
        <w:rPr>
          <w:rFonts w:ascii="Times New Roman"/>
          <w:b w:val="false"/>
          <w:i w:val="false"/>
          <w:color w:val="000000"/>
          <w:sz w:val="28"/>
        </w:rPr>
        <w:t>
      реттік нөмірлері 607, 608, 609, 610, 611, 612, 613 және 614-жолдар алып тасталсын;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5-қосымшада</w:t>
      </w:r>
      <w:r>
        <w:rPr>
          <w:rFonts w:ascii="Times New Roman"/>
          <w:b w:val="false"/>
          <w:i w:val="false"/>
          <w:color w:val="000000"/>
          <w:sz w:val="28"/>
        </w:rPr>
        <w:t>:</w:t>
      </w:r>
    </w:p>
    <w:bookmarkStart w:name="z31" w:id="11"/>
    <w:p>
      <w:pPr>
        <w:spacing w:after="0"/>
        <w:ind w:left="0"/>
        <w:jc w:val="both"/>
      </w:pPr>
      <w:r>
        <w:rPr>
          <w:rFonts w:ascii="Times New Roman"/>
          <w:b w:val="false"/>
          <w:i w:val="false"/>
          <w:color w:val="000000"/>
          <w:sz w:val="28"/>
        </w:rPr>
        <w:t>
      реттік нөмірлері 601, 602, 603, 604 және 605-жолдар мынадай редакцияда жазылсын:</w:t>
      </w:r>
    </w:p>
    <w:bookmarkEnd w:id="11"/>
    <w:bookmarkStart w:name="z32"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айналысқа шығару кезінде құрылыс материалдары мен бұйымдары сәйкестік сертификатымен немесе сәйкестік туралы декларациямен бірге жүретін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Сатылатын құрылыс материалдары мен бұйымдары (оның ішінде импортталатын):</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1) қауіпсіз, сақтау немесе жарамдылық мерзімі өтіп кетпеген (бар болса), ыдысы және қорабы бүлінбеген (нормативтік құжаттар талаптарына сәйкес), пайдалану құжаттамасының толық жиынтығымен болады. Егер дайындаушыдан, тұтынушыдан немесе мемлекеттік бақылау және қадағалау органдарынан нақты материалдар мен бұйымдардың белгіленген қауіпсіздік талаптарына сәйкессіздігі туралы ақпарат алынған болса, өткізілмейді (сатылмайды);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зиян келтірудің ықтимал тәуекелдерін бағалау және олардың тиісті қауіпсіздік шараларын қабылдауы үшін тұтынушы үшін ілеспе құжаттамамен (пайдалану жөніндегі нұсқаулық, сапа паспорты, сәйкестік сертификаты немесе сәйкестік туралы декларация, техникалық немесе нормативтік құжаттама) қамтамасыз етіледі;</w:t>
            </w:r>
          </w:p>
          <w:p>
            <w:pPr>
              <w:spacing w:after="20"/>
              <w:ind w:left="20"/>
              <w:jc w:val="both"/>
            </w:pPr>
            <w:r>
              <w:rPr>
                <w:rFonts w:ascii="Times New Roman"/>
                <w:b w:val="false"/>
                <w:i w:val="false"/>
                <w:color w:val="000000"/>
                <w:sz w:val="20"/>
              </w:rPr>
              <w:t>
3) оларды сату кезіндегі іс-қимылы тәртібі туралы, кейіннен тексеру мақсатында тұтынушылардың шағымдарын тіркеу туралы сатушыларға арналған ақпаратпен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Сәйкестік белгісімен сертификатталатын өнімнің әрбір бірлігіне қойылатын талаптарды сақтау.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Қапталмаған құрылыс материалдары мен бұйымдарының сәйкестік белгісімен таңбалау оларға тікелей жазылады, сондай-ақ қоса беріліп отырған пайдалану құжаттарында келтіріледі.</w:t>
            </w:r>
          </w:p>
          <w:p>
            <w:pPr>
              <w:spacing w:after="20"/>
              <w:ind w:left="20"/>
              <w:jc w:val="both"/>
            </w:pPr>
            <w:r>
              <w:rPr>
                <w:rFonts w:ascii="Times New Roman"/>
                <w:b w:val="false"/>
                <w:i w:val="false"/>
                <w:color w:val="000000"/>
                <w:sz w:val="20"/>
              </w:rPr>
              <w:t>
Буып түйілген құрылыс материалдары мен бұйымдарының сәйкестік белгісімен таңбалау қаптамаға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
          <w:p>
            <w:pPr>
              <w:spacing w:after="20"/>
              <w:ind w:left="20"/>
              <w:jc w:val="both"/>
            </w:pPr>
            <w:r>
              <w:rPr>
                <w:rFonts w:ascii="Times New Roman"/>
                <w:b w:val="false"/>
                <w:i w:val="false"/>
                <w:color w:val="000000"/>
                <w:sz w:val="20"/>
              </w:rPr>
              <w:t xml:space="preserve">
Құрылыс материалдары мен бұйымдарында мынадай мазмұндағы болатын таңбалау талаптарды сақтау: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тауарлардың жарамдылық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дайындаушы және (немесе) дайындаушы уәкілеттік берген тұлға және (немесе) импорттаушы туралы ақпарат (компаниялардың атауы немесе ЖК ТАӘ, олардың заңды мекенжайлары);</w:t>
            </w:r>
          </w:p>
          <w:p>
            <w:pPr>
              <w:spacing w:after="20"/>
              <w:ind w:left="20"/>
              <w:jc w:val="both"/>
            </w:pPr>
            <w:r>
              <w:rPr>
                <w:rFonts w:ascii="Times New Roman"/>
                <w:b w:val="false"/>
                <w:i w:val="false"/>
                <w:color w:val="000000"/>
                <w:sz w:val="20"/>
              </w:rPr>
              <w:t>
Қазақстан Республикасының немесе ЕАЭО заңнамасы шеңберінде тауарларға рұқсат құжаттары (сертификаттар / декларациялар) алынғанын куәландыратын өтініш белгісі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мен бұйымдарының ілеспе құжаттамасы мен таңбалануының мемлекеттік және орыс тілдерінде жүргізілуі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16"/>
    <w:p>
      <w:pPr>
        <w:spacing w:after="0"/>
        <w:ind w:left="0"/>
        <w:jc w:val="both"/>
      </w:pPr>
      <w:r>
        <w:rPr>
          <w:rFonts w:ascii="Times New Roman"/>
          <w:b w:val="false"/>
          <w:i w:val="false"/>
          <w:color w:val="000000"/>
          <w:sz w:val="28"/>
        </w:rPr>
        <w:t>
      реттік нөмірлері 606, 607, 608, 609, 610, 611, 612 және 613-жолдар алып тасталсын;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бұйрықтағы </w:t>
      </w:r>
      <w:r>
        <w:rPr>
          <w:rFonts w:ascii="Times New Roman"/>
          <w:b w:val="false"/>
          <w:i w:val="false"/>
          <w:color w:val="000000"/>
          <w:sz w:val="28"/>
        </w:rPr>
        <w:t>7-қосымша</w:t>
      </w:r>
      <w:r>
        <w:rPr>
          <w:rFonts w:ascii="Times New Roman"/>
          <w:b w:val="false"/>
          <w:i w:val="false"/>
          <w:color w:val="000000"/>
          <w:sz w:val="28"/>
        </w:rPr>
        <w:t xml:space="preserve"> алып тасталсын.</w:t>
      </w:r>
    </w:p>
    <w:bookmarkStart w:name="z47" w:id="17"/>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7"/>
    <w:bookmarkStart w:name="z48" w:id="1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8"/>
    <w:bookmarkStart w:name="z49" w:id="19"/>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19"/>
    <w:bookmarkStart w:name="z50" w:id="2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вице-министріне жүктелсін.</w:t>
      </w:r>
    </w:p>
    <w:bookmarkEnd w:id="20"/>
    <w:bookmarkStart w:name="z51" w:id="21"/>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күнтiзбелiк он күн өткен соң қолданысқа енгiзiледi.</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Бижанова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55" w:id="22"/>
    <w:p>
      <w:pPr>
        <w:spacing w:after="0"/>
        <w:ind w:left="0"/>
        <w:jc w:val="both"/>
      </w:pPr>
      <w:r>
        <w:rPr>
          <w:rFonts w:ascii="Times New Roman"/>
          <w:b w:val="false"/>
          <w:i w:val="false"/>
          <w:color w:val="000000"/>
          <w:sz w:val="28"/>
        </w:rPr>
        <w:t>
      Қазақстан Республикасы</w:t>
      </w:r>
    </w:p>
    <w:bookmarkEnd w:id="22"/>
    <w:bookmarkStart w:name="z56" w:id="23"/>
    <w:p>
      <w:pPr>
        <w:spacing w:after="0"/>
        <w:ind w:left="0"/>
        <w:jc w:val="both"/>
      </w:pPr>
      <w:r>
        <w:rPr>
          <w:rFonts w:ascii="Times New Roman"/>
          <w:b w:val="false"/>
          <w:i w:val="false"/>
          <w:color w:val="000000"/>
          <w:sz w:val="28"/>
        </w:rPr>
        <w:t>
      Бас прокуратураның</w:t>
      </w:r>
    </w:p>
    <w:bookmarkEnd w:id="23"/>
    <w:bookmarkStart w:name="z57" w:id="24"/>
    <w:p>
      <w:pPr>
        <w:spacing w:after="0"/>
        <w:ind w:left="0"/>
        <w:jc w:val="both"/>
      </w:pPr>
      <w:r>
        <w:rPr>
          <w:rFonts w:ascii="Times New Roman"/>
          <w:b w:val="false"/>
          <w:i w:val="false"/>
          <w:color w:val="000000"/>
          <w:sz w:val="28"/>
        </w:rPr>
        <w:t>
      Құқықтық статистика</w:t>
      </w:r>
    </w:p>
    <w:bookmarkEnd w:id="24"/>
    <w:bookmarkStart w:name="z58" w:id="25"/>
    <w:p>
      <w:pPr>
        <w:spacing w:after="0"/>
        <w:ind w:left="0"/>
        <w:jc w:val="both"/>
      </w:pPr>
      <w:r>
        <w:rPr>
          <w:rFonts w:ascii="Times New Roman"/>
          <w:b w:val="false"/>
          <w:i w:val="false"/>
          <w:color w:val="000000"/>
          <w:sz w:val="28"/>
        </w:rPr>
        <w:t>
      және арнайы есепке алу</w:t>
      </w:r>
    </w:p>
    <w:bookmarkEnd w:id="25"/>
    <w:bookmarkStart w:name="z59" w:id="26"/>
    <w:p>
      <w:pPr>
        <w:spacing w:after="0"/>
        <w:ind w:left="0"/>
        <w:jc w:val="both"/>
      </w:pPr>
      <w:r>
        <w:rPr>
          <w:rFonts w:ascii="Times New Roman"/>
          <w:b w:val="false"/>
          <w:i w:val="false"/>
          <w:color w:val="000000"/>
          <w:sz w:val="28"/>
        </w:rPr>
        <w:t>
      комитеті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