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e668" w14:textId="0c7e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25 маусымдағы № 228 бұйрығы. Қазақстан Республикасының Әділет министрлігінде 2024 жылғы 27 маусымда № 34600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"15. Елді мекендерді жобалау, тұрғын аудандарды қалыптастыру, қайта игерілетін және реконструкцияланатын аумақтарды және елді мекендерді абаттандыру кезінде тұрғын, қоғамдық және өндірістік ғимараттарға, құрылыстар мен үй-жайларға халықтың iс-қимылы шектеулi топтарының қол жетікізуі қамтамасыз етіледі.</w:t>
      </w:r>
    </w:p>
    <w:bookmarkEnd w:id="3"/>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iс-қимылы шектеулi топтарының жеке автокөлік құралдары үшін орындар көзделеді.</w:t>
      </w:r>
    </w:p>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"23.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4"/>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4) салынған объектіні қабылдау және пайдалануға беру.</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ЖАО-ның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5"/>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xml:space="preserve">
      Құрылыс-монтаждау жұмыстарының басталғаны туралы хабарламаны қабылдау туралы талон және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қалыптасатын техникалық қадағалау есептері жауапкершілігі бірінші және екінші деңгейдегі объектілердің құрылысы басталғаны туралы растайтын құжаттар болып табылады.</w:t>
      </w:r>
    </w:p>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6"/>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жағдайда);</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1-мемлекеттік көрсетілетін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"41. Көрсетілетін қызметті беруші мынадай негіздер бойынша 1-ші мемлекеттік қызметті көрсетуден бас тартады:</w:t>
      </w:r>
    </w:p>
    <w:bookmarkEnd w:id="7"/>
    <w:p>
      <w:pPr>
        <w:spacing w:after="0"/>
        <w:ind w:left="0"/>
        <w:jc w:val="both"/>
      </w:pPr>
      <w:r>
        <w:rPr>
          <w:rFonts w:ascii="Times New Roman"/>
          <w:b w:val="false"/>
          <w:i w:val="false"/>
          <w:color w:val="000000"/>
          <w:sz w:val="28"/>
        </w:rPr>
        <w:t>
      1) 1-ші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өтініш берушінің және (немесе) 1-ші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бекітілген бас жоспардың, егжей-тегжейлі жоспарлау жобасының немесе елді мекендерді дамыту мен құрылыс салу схемасының (қолданыстағы ғимараттар мен құрылыстардың үй-жайларын (жекелеген бөліктерін) реконструкциялаудан (қайта жоспарлаудан, қайта жабдықтаудан) басқа) болмауы;</w:t>
      </w:r>
    </w:p>
    <w:p>
      <w:pPr>
        <w:spacing w:after="0"/>
        <w:ind w:left="0"/>
        <w:jc w:val="both"/>
      </w:pPr>
      <w:r>
        <w:rPr>
          <w:rFonts w:ascii="Times New Roman"/>
          <w:b w:val="false"/>
          <w:i w:val="false"/>
          <w:color w:val="000000"/>
          <w:sz w:val="28"/>
        </w:rPr>
        <w:t>
      4)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p>
      <w:pPr>
        <w:spacing w:after="0"/>
        <w:ind w:left="0"/>
        <w:jc w:val="both"/>
      </w:pPr>
      <w:r>
        <w:rPr>
          <w:rFonts w:ascii="Times New Roman"/>
          <w:b w:val="false"/>
          <w:i w:val="false"/>
          <w:color w:val="000000"/>
          <w:sz w:val="28"/>
        </w:rPr>
        <w:t>
      Бас тарту үшін осы негіздеме жаңа немесе бекітілген бас жоспарға, егжей-тегжейлі жоспарлау жобасына немесе елді мекендерді дамыту мен құрылыс салу схемасына өзгерістер енгізу нәтижесінде туындаған өтініш берушінің жер учаскесін нысаналы мақсаты, оның ішінде реконструкциялау (қайта жоспарлау, қайта жабдықтау) бойынша құқықтарын одан әрі іске асыру мүмкін болмаған жағдайда қолданылмайды.</w:t>
      </w:r>
    </w:p>
    <w:p>
      <w:pPr>
        <w:spacing w:after="0"/>
        <w:ind w:left="0"/>
        <w:jc w:val="both"/>
      </w:pPr>
      <w:r>
        <w:rPr>
          <w:rFonts w:ascii="Times New Roman"/>
          <w:b w:val="false"/>
          <w:i w:val="false"/>
          <w:color w:val="000000"/>
          <w:sz w:val="28"/>
        </w:rPr>
        <w:t>
      5)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инженерлiк және коммуналдық қамтамасыз ету бойынша қызмет көрсетушiлер техникалық шарттарды беруден бас тартуы;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бұзуы;</w:t>
      </w:r>
    </w:p>
    <w:p>
      <w:pPr>
        <w:spacing w:after="0"/>
        <w:ind w:left="0"/>
        <w:jc w:val="both"/>
      </w:pPr>
      <w:r>
        <w:rPr>
          <w:rFonts w:ascii="Times New Roman"/>
          <w:b w:val="false"/>
          <w:i w:val="false"/>
          <w:color w:val="000000"/>
          <w:sz w:val="28"/>
        </w:rPr>
        <w:t xml:space="preserve">
      7) лицензиясы бар тұлғалар орындаған техникалық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құрамы мен мазмұнына сәйкес келмеуі, қолда бар ғимараттар мен құрылыстардың үй-жайларының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228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w:t>
            </w:r>
          </w:p>
          <w:p>
            <w:pPr>
              <w:spacing w:after="20"/>
              <w:ind w:left="20"/>
              <w:jc w:val="both"/>
            </w:pPr>
            <w:r>
              <w:rPr>
                <w:rFonts w:ascii="Times New Roman"/>
                <w:b w:val="false"/>
                <w:i w:val="false"/>
                <w:color w:val="000000"/>
                <w:sz w:val="20"/>
              </w:rPr>
              <w:t>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3)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4)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w:t>
            </w:r>
          </w:p>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жағдайда).</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4" w:id="13"/>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от "___"________20____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 №_____</w:t>
            </w:r>
          </w:p>
        </w:tc>
      </w:tr>
    </w:tbl>
    <w:p>
      <w:pPr>
        <w:spacing w:after="0"/>
        <w:ind w:left="0"/>
        <w:jc w:val="both"/>
      </w:pPr>
      <w:r>
        <w:rPr>
          <w:rFonts w:ascii="Times New Roman"/>
          <w:b w:val="false"/>
          <w:i w:val="false"/>
          <w:color w:val="000000"/>
          <w:sz w:val="28"/>
        </w:rPr>
        <w:t xml:space="preserve">
      Объектінің бірегей нөмірі: ___________________________________________________ </w:t>
      </w:r>
    </w:p>
    <w:p>
      <w:pPr>
        <w:spacing w:after="0"/>
        <w:ind w:left="0"/>
        <w:jc w:val="both"/>
      </w:pPr>
      <w:r>
        <w:rPr>
          <w:rFonts w:ascii="Times New Roman"/>
          <w:b w:val="false"/>
          <w:i w:val="false"/>
          <w:color w:val="000000"/>
          <w:sz w:val="28"/>
        </w:rPr>
        <w:t xml:space="preserve">
      Уникальный номер объекта: </w:t>
      </w:r>
    </w:p>
    <w:p>
      <w:pPr>
        <w:spacing w:after="0"/>
        <w:ind w:left="0"/>
        <w:jc w:val="both"/>
      </w:pPr>
      <w:r>
        <w:rPr>
          <w:rFonts w:ascii="Times New Roman"/>
          <w:b w:val="false"/>
          <w:i w:val="false"/>
          <w:color w:val="000000"/>
          <w:sz w:val="28"/>
        </w:rPr>
        <w:t xml:space="preserve">
      Объектінің атауы: 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Объектінің мекенжайы _____________________________________________________ </w:t>
      </w:r>
    </w:p>
    <w:p>
      <w:pPr>
        <w:spacing w:after="0"/>
        <w:ind w:left="0"/>
        <w:jc w:val="both"/>
      </w:pPr>
      <w:r>
        <w:rPr>
          <w:rFonts w:ascii="Times New Roman"/>
          <w:b w:val="false"/>
          <w:i w:val="false"/>
          <w:color w:val="000000"/>
          <w:sz w:val="28"/>
        </w:rPr>
        <w:t xml:space="preserve">
      Адрес объекта </w:t>
      </w:r>
    </w:p>
    <w:p>
      <w:pPr>
        <w:spacing w:after="0"/>
        <w:ind w:left="0"/>
        <w:jc w:val="both"/>
      </w:pPr>
      <w:r>
        <w:rPr>
          <w:rFonts w:ascii="Times New Roman"/>
          <w:b w:val="false"/>
          <w:i w:val="false"/>
          <w:color w:val="000000"/>
          <w:sz w:val="28"/>
        </w:rPr>
        <w:t xml:space="preserve">
      Қала (елді мекен), жыл _____________________________________________________ </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w:t>
            </w:r>
          </w:p>
          <w:p>
            <w:pPr>
              <w:spacing w:after="20"/>
              <w:ind w:left="20"/>
              <w:jc w:val="both"/>
            </w:pPr>
            <w:r>
              <w:rPr>
                <w:rFonts w:ascii="Times New Roman"/>
                <w:b w:val="false"/>
                <w:i w:val="false"/>
                <w:color w:val="000000"/>
                <w:sz w:val="20"/>
              </w:rPr>
              <w:t>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w:t>
            </w:r>
          </w:p>
          <w:p>
            <w:pPr>
              <w:spacing w:after="20"/>
              <w:ind w:left="20"/>
              <w:jc w:val="both"/>
            </w:pPr>
            <w:r>
              <w:rPr>
                <w:rFonts w:ascii="Times New Roman"/>
                <w:b w:val="false"/>
                <w:i w:val="false"/>
                <w:color w:val="000000"/>
                <w:sz w:val="20"/>
              </w:rPr>
              <w:t>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