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4754" w14:textId="bce4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25 маусымдағы № 228 бұйрығы. Қазақстан Республикасының Әділет министрлігінде 2024 жылғы 27 маусымда № 34600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"15. Елді мекендерді жобалау, тұрғын аудандарды қалыптастыру, қайта игерілетін және реконструкцияланатын аумақтарды және елді мекендерді абаттандыру кезінде тұрғын, қоғамдық және өндірістік ғимараттарға, құрылыстар мен үй-жайларға халықтың iс-қимылы шектеулi топтарының қол жетікізуі қамтамасыз етіледі.</w:t>
      </w:r>
    </w:p>
    <w:bookmarkEnd w:id="3"/>
    <w:p>
      <w:pPr>
        <w:spacing w:after="0"/>
        <w:ind w:left="0"/>
        <w:jc w:val="both"/>
      </w:pPr>
      <w:r>
        <w:rPr>
          <w:rFonts w:ascii="Times New Roman"/>
          <w:b w:val="false"/>
          <w:i w:val="false"/>
          <w:color w:val="000000"/>
          <w:sz w:val="28"/>
        </w:rPr>
        <w:t>
      Тұрғын және қоғамдық ғимараттардың аумағында орналасатын автомобиль тұрақтарын жобалау кезінде халықтың iс-қимылы шектеулi топтарының жеке автокөлік құралдары үшін орындар көзделеді.</w:t>
      </w:r>
    </w:p>
    <w:p>
      <w:pPr>
        <w:spacing w:after="0"/>
        <w:ind w:left="0"/>
        <w:jc w:val="both"/>
      </w:pPr>
      <w:r>
        <w:rPr>
          <w:rFonts w:ascii="Times New Roman"/>
          <w:b w:val="false"/>
          <w:i w:val="false"/>
          <w:color w:val="000000"/>
          <w:sz w:val="28"/>
        </w:rPr>
        <w:t>
      Тұрғын аймақтарда әлеуметтік инфрақұрылым объектілерінің (білім беру және денсаулық сақтау объектілерінің) орналастырылуын ескерусіз көппәтерлі тұрғын ғимараттарды (үйлерді) салуға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"23.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жөніндегі жобаларды іске асыру мынадай кезеңдерде жүзеге асырылады:</w:t>
      </w:r>
    </w:p>
    <w:bookmarkEnd w:id="4"/>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w:t>
      </w:r>
    </w:p>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p>
      <w:pPr>
        <w:spacing w:after="0"/>
        <w:ind w:left="0"/>
        <w:jc w:val="both"/>
      </w:pPr>
      <w:r>
        <w:rPr>
          <w:rFonts w:ascii="Times New Roman"/>
          <w:b w:val="false"/>
          <w:i w:val="false"/>
          <w:color w:val="000000"/>
          <w:sz w:val="28"/>
        </w:rPr>
        <w:t>
      4) салынған объектіні қабылдау және пайдалануға беру.</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(бір функционалдық мақсат шеңберінде) лицензиясы бар тұлғалар орындаған сәулет, қала құрылысы және құрылыс саласындағы мемлекеттік нормативтердің талаптарына сәйкес әзірленген техникалық жоба негізінде жүзеге асырылады. ЖАО-ның шешімін алу, жобалау және сараптамадан өту талап етілмейді. Объектіні пайдалануға беру кезінде техникалық жоба меншік иесінің объектіні пайдалануға қабылдау актісіне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"28.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5"/>
    <w:p>
      <w:pPr>
        <w:spacing w:after="0"/>
        <w:ind w:left="0"/>
        <w:jc w:val="both"/>
      </w:pPr>
      <w:r>
        <w:rPr>
          <w:rFonts w:ascii="Times New Roman"/>
          <w:b w:val="false"/>
          <w:i w:val="false"/>
          <w:color w:val="000000"/>
          <w:sz w:val="28"/>
        </w:rPr>
        <w:t>
      Құрылыстың нормативтік ұзақтығы үш жылдан асқан жағдайда, СЖТ және техникалық шарттардың қолданылу мерзімі құрылыстың басталғаны туралы растаушы құжаттардың ұсынылу талабымен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СЖТ және техникалық шарттар берілген күнінен бастап үш жыл өткен соң жарамсыз деп есептеледі.</w:t>
      </w:r>
    </w:p>
    <w:p>
      <w:pPr>
        <w:spacing w:after="0"/>
        <w:ind w:left="0"/>
        <w:jc w:val="both"/>
      </w:pPr>
      <w:r>
        <w:rPr>
          <w:rFonts w:ascii="Times New Roman"/>
          <w:b w:val="false"/>
          <w:i w:val="false"/>
          <w:color w:val="000000"/>
          <w:sz w:val="28"/>
        </w:rPr>
        <w:t xml:space="preserve">
      Құрылыс-монтаждау жұмыстарының басталғаны туралы хабарламаны қабылдау туралы талон және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бұйрығымен бекітілген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қалыптасатын техникалық қадағалау есептері жауапкершілігі бірінші және екінші деңгейдегі объектілердің құрылысы басталғаны туралы растайтын құжаттар болып табылады.</w:t>
      </w:r>
    </w:p>
    <w:p>
      <w:pPr>
        <w:spacing w:after="0"/>
        <w:ind w:left="0"/>
        <w:jc w:val="both"/>
      </w:pPr>
      <w:r>
        <w:rPr>
          <w:rFonts w:ascii="Times New Roman"/>
          <w:b w:val="false"/>
          <w:i w:val="false"/>
          <w:color w:val="000000"/>
          <w:sz w:val="28"/>
        </w:rPr>
        <w:t>
      Реконструкциялауға (қайта жоспарлауға, қайта жабдықтауға) ЖАО-ның шешімі объектіні пайдалануға енгізгенге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"35. 1-мемлекеттік қызметті алу үшін өтініш беруші "электрондық үкіметтің" веб-порталы (бұдан әрі – портал) арқылы көрсетілетін қызметті берушіге жаңа құрылысқа бастапқы материалдарды/сәулет-жоспарлау тапсырмасын және техникалық шарттарды ұсыну/тіреу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ұсыну туралы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bookmarkEnd w:id="6"/>
    <w:p>
      <w:pPr>
        <w:spacing w:after="0"/>
        <w:ind w:left="0"/>
        <w:jc w:val="both"/>
      </w:pPr>
      <w:r>
        <w:rPr>
          <w:rFonts w:ascii="Times New Roman"/>
          <w:b w:val="false"/>
          <w:i w:val="false"/>
          <w:color w:val="000000"/>
          <w:sz w:val="28"/>
        </w:rPr>
        <w:t>
      жаңа құрылысқа бастапқы материалдарды (бұдан әрі – 1-топтама), СЖТ және техникалық шарттарды (бұдан әрі – 2-топтама) алу үшін:</w:t>
      </w:r>
    </w:p>
    <w:p>
      <w:pPr>
        <w:spacing w:after="0"/>
        <w:ind w:left="0"/>
        <w:jc w:val="both"/>
      </w:pPr>
      <w:r>
        <w:rPr>
          <w:rFonts w:ascii="Times New Roman"/>
          <w:b w:val="false"/>
          <w:i w:val="false"/>
          <w:color w:val="000000"/>
          <w:sz w:val="28"/>
        </w:rPr>
        <w:t>
      1) жер учаскесіне құқығын белгілейтін құжаттың электрондық көшірмесі ("Жылжымайтын мүліктің бірыңғай мемлекеттік кадастры" ақпараттық жүйесінде тіркелмеген жағдайда);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парағының электрондық көшірмесі (техникалық шарттарды алған жағдайда);</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бастапқы материалдарды (бұдан әрі – 3-топтама) алу үшін:</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p>
      <w:pPr>
        <w:spacing w:after="0"/>
        <w:ind w:left="0"/>
        <w:jc w:val="both"/>
      </w:pPr>
      <w:r>
        <w:rPr>
          <w:rFonts w:ascii="Times New Roman"/>
          <w:b w:val="false"/>
          <w:i w:val="false"/>
          <w:color w:val="000000"/>
          <w:sz w:val="28"/>
        </w:rPr>
        <w:t>
      3)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4)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p>
      <w:pPr>
        <w:spacing w:after="0"/>
        <w:ind w:left="0"/>
        <w:jc w:val="both"/>
      </w:pPr>
      <w:r>
        <w:rPr>
          <w:rFonts w:ascii="Times New Roman"/>
          <w:b w:val="false"/>
          <w:i w:val="false"/>
          <w:color w:val="000000"/>
          <w:sz w:val="28"/>
        </w:rPr>
        <w:t xml:space="preserve">
      5) техникалық жобаның электрондық көшірмесі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1-мемлекеттік көрсетілетін қызметке қойылатын негізгі талаптар тізбесі, сондай-ақ 1-мемлекеттік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"41. Көрсетілетін қызметті беруші мынадай негіздер бойынша 1-ші мемлекеттік қызметті көрсетуден бас тартады:</w:t>
      </w:r>
    </w:p>
    <w:bookmarkEnd w:id="7"/>
    <w:p>
      <w:pPr>
        <w:spacing w:after="0"/>
        <w:ind w:left="0"/>
        <w:jc w:val="both"/>
      </w:pPr>
      <w:r>
        <w:rPr>
          <w:rFonts w:ascii="Times New Roman"/>
          <w:b w:val="false"/>
          <w:i w:val="false"/>
          <w:color w:val="000000"/>
          <w:sz w:val="28"/>
        </w:rPr>
        <w:t>
      1) 1-ші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өтініш берушінің және (немесе) 1-ші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бекітілген бас жоспардың, егжей-тегжейлі жоспарлау жобасының немесе елді мекендерді дамыту мен құрылыс салу схемасының (қолданыстағы ғимараттар мен құрылыстардың үй-жайларын (жекелеген бөліктерін) реконструкциялаудан (қайта жоспарлаудан, қайта жабдықтаудан) басқа) болмауы;</w:t>
      </w:r>
    </w:p>
    <w:p>
      <w:pPr>
        <w:spacing w:after="0"/>
        <w:ind w:left="0"/>
        <w:jc w:val="both"/>
      </w:pPr>
      <w:r>
        <w:rPr>
          <w:rFonts w:ascii="Times New Roman"/>
          <w:b w:val="false"/>
          <w:i w:val="false"/>
          <w:color w:val="000000"/>
          <w:sz w:val="28"/>
        </w:rPr>
        <w:t>
      4) жоспарланған құрылыстың бекітілген бас жоспарға, егжей-тегжейлі жоспарлау жобасына немесе елді мекендерді дамыту мен құрылыс салу схемасына сәйкес келмеуі;</w:t>
      </w:r>
    </w:p>
    <w:p>
      <w:pPr>
        <w:spacing w:after="0"/>
        <w:ind w:left="0"/>
        <w:jc w:val="both"/>
      </w:pPr>
      <w:r>
        <w:rPr>
          <w:rFonts w:ascii="Times New Roman"/>
          <w:b w:val="false"/>
          <w:i w:val="false"/>
          <w:color w:val="000000"/>
          <w:sz w:val="28"/>
        </w:rPr>
        <w:t>
      Бас тарту үшін осы негіздеме жаңа немесе бекітілген бас жоспарға, егжей-тегжейлі жоспарлау жобасына немесе елді мекендерді дамыту мен құрылыс салу схемасына өзгерістер енгізу нәтижесінде туындаған өтініш берушінің жер учаскесін нысаналы мақсаты, оның ішінде реконструкциялау (қайта жоспарлау, қайта жабдықтау) бойынша құқықтарын одан әрі іске асыру мүмкін болмаған жағдайда қолданылмайды.</w:t>
      </w:r>
    </w:p>
    <w:p>
      <w:pPr>
        <w:spacing w:after="0"/>
        <w:ind w:left="0"/>
        <w:jc w:val="both"/>
      </w:pPr>
      <w:r>
        <w:rPr>
          <w:rFonts w:ascii="Times New Roman"/>
          <w:b w:val="false"/>
          <w:i w:val="false"/>
          <w:color w:val="000000"/>
          <w:sz w:val="28"/>
        </w:rPr>
        <w:t>
      5) көрсетілетін қызметтердің талап етілетін көлемін ұсыну үшін қажетті бос техникалық қуат болмаған және (немесе) көрсетілетін қызметті ұсыну үшін қажетті желілер немесе өзге де мүлік болмаған жағдайларда, инженерлiк және коммуналдық қамтамасыз ету бойынша қызмет көрсетушiлер техникалық шарттарды беруден бас тартуы;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17-бабында</w:t>
      </w:r>
      <w:r>
        <w:rPr>
          <w:rFonts w:ascii="Times New Roman"/>
          <w:b w:val="false"/>
          <w:i w:val="false"/>
          <w:color w:val="000000"/>
          <w:sz w:val="28"/>
        </w:rPr>
        <w:t xml:space="preserve"> белгіленген нормалар мен талаптарды (шарттарды, ережелерді, шектеулердi) бұзуы;</w:t>
      </w:r>
    </w:p>
    <w:p>
      <w:pPr>
        <w:spacing w:after="0"/>
        <w:ind w:left="0"/>
        <w:jc w:val="both"/>
      </w:pPr>
      <w:r>
        <w:rPr>
          <w:rFonts w:ascii="Times New Roman"/>
          <w:b w:val="false"/>
          <w:i w:val="false"/>
          <w:color w:val="000000"/>
          <w:sz w:val="28"/>
        </w:rPr>
        <w:t xml:space="preserve">
      7) лицензиясы бар тұлғалар орындаған техникалық жобаның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 құрамы мен мазмұнына сәйкес келмеуі, қолда бар ғимараттар мен құрылыстардың үй-жайларының (жекелеген бөліктерін) тағайындалуына қойылатын талаптар кешенін, сондай-ақ сәулет, қала құрылысы және құрылыс саласындағы мемлекеттік нормативтердің талаптарын көздемейді.</w:t>
      </w:r>
    </w:p>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1-ші мемлекеттік көрсетілетін қызметті көрсетуден бас тарту себептерін жойған жағдайда, Қазақстан Республикасының заңнамасында белгіленген тәртіппен 1-ші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7" w:id="10"/>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228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Жаңа құрылысқа бастапқы материалдарды ұсыну;</w:t>
            </w:r>
          </w:p>
          <w:p>
            <w:pPr>
              <w:spacing w:after="20"/>
              <w:ind w:left="20"/>
              <w:jc w:val="both"/>
            </w:pPr>
            <w:r>
              <w:rPr>
                <w:rFonts w:ascii="Times New Roman"/>
                <w:b w:val="false"/>
                <w:i w:val="false"/>
                <w:color w:val="000000"/>
                <w:sz w:val="20"/>
              </w:rPr>
              <w:t>
2. Сәулет-жоспарлау тапсырмасын және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2) сәулет-жоспарлау тапсырмасы (бұдан әрі – СЖТ) және инженерлік және коммуналдық қамтамасыз ету көздеріне қосуға арналған техникалық шарттарды (бұдан әрі – техникалық шарттар):</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- 9 (тоғыз)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w:t>
            </w:r>
          </w:p>
          <w:p>
            <w:pPr>
              <w:spacing w:after="20"/>
              <w:ind w:left="20"/>
              <w:jc w:val="both"/>
            </w:pPr>
            <w:r>
              <w:rPr>
                <w:rFonts w:ascii="Times New Roman"/>
                <w:b w:val="false"/>
                <w:i w:val="false"/>
                <w:color w:val="000000"/>
                <w:sz w:val="20"/>
              </w:rPr>
              <w:t>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3)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4)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w:t>
            </w:r>
          </w:p>
          <w:p>
            <w:pPr>
              <w:spacing w:after="20"/>
              <w:ind w:left="20"/>
              <w:jc w:val="both"/>
            </w:pPr>
            <w:r>
              <w:rPr>
                <w:rFonts w:ascii="Times New Roman"/>
                <w:b w:val="false"/>
                <w:i w:val="false"/>
                <w:color w:val="000000"/>
                <w:sz w:val="20"/>
              </w:rPr>
              <w:t>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шарттардың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w:t>
            </w:r>
          </w:p>
          <w:p>
            <w:pPr>
              <w:spacing w:after="20"/>
              <w:ind w:left="20"/>
              <w:jc w:val="both"/>
            </w:pPr>
            <w:r>
              <w:rPr>
                <w:rFonts w:ascii="Times New Roman"/>
                <w:b w:val="false"/>
                <w:i w:val="false"/>
                <w:color w:val="000000"/>
                <w:sz w:val="20"/>
              </w:rPr>
              <w:t>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сауалнама парағының электрондық көшірмесі (техникалық шарттарды алған жағдайда).</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"Утверждаю" </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24" w:id="13"/>
    <w:p>
      <w:pPr>
        <w:spacing w:after="0"/>
        <w:ind w:left="0"/>
        <w:jc w:val="left"/>
      </w:pPr>
      <w:r>
        <w:rPr>
          <w:rFonts w:ascii="Times New Roman"/>
          <w:b/>
          <w:i w:val="false"/>
          <w:color w:val="000000"/>
        </w:rPr>
        <w:t xml:space="preserve"> Жобалауға арналған сәулет-жоспарлау тапсырмасы (СЖТ) Архитектурно – планировочное задание на проектирование (АПЗ)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от "___"________20____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 №_____</w:t>
            </w:r>
          </w:p>
        </w:tc>
      </w:tr>
    </w:tbl>
    <w:p>
      <w:pPr>
        <w:spacing w:after="0"/>
        <w:ind w:left="0"/>
        <w:jc w:val="both"/>
      </w:pPr>
      <w:r>
        <w:rPr>
          <w:rFonts w:ascii="Times New Roman"/>
          <w:b w:val="false"/>
          <w:i w:val="false"/>
          <w:color w:val="000000"/>
          <w:sz w:val="28"/>
        </w:rPr>
        <w:t xml:space="preserve">
      Объектінің бірегей нөмірі: ___________________________________________________ </w:t>
      </w:r>
    </w:p>
    <w:p>
      <w:pPr>
        <w:spacing w:after="0"/>
        <w:ind w:left="0"/>
        <w:jc w:val="both"/>
      </w:pPr>
      <w:r>
        <w:rPr>
          <w:rFonts w:ascii="Times New Roman"/>
          <w:b w:val="false"/>
          <w:i w:val="false"/>
          <w:color w:val="000000"/>
          <w:sz w:val="28"/>
        </w:rPr>
        <w:t xml:space="preserve">
      Уникальный номер объекта: </w:t>
      </w:r>
    </w:p>
    <w:p>
      <w:pPr>
        <w:spacing w:after="0"/>
        <w:ind w:left="0"/>
        <w:jc w:val="both"/>
      </w:pPr>
      <w:r>
        <w:rPr>
          <w:rFonts w:ascii="Times New Roman"/>
          <w:b w:val="false"/>
          <w:i w:val="false"/>
          <w:color w:val="000000"/>
          <w:sz w:val="28"/>
        </w:rPr>
        <w:t xml:space="preserve">
      Объектінің атауы: 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Объектінің мекенжайы _____________________________________________________ </w:t>
      </w:r>
    </w:p>
    <w:p>
      <w:pPr>
        <w:spacing w:after="0"/>
        <w:ind w:left="0"/>
        <w:jc w:val="both"/>
      </w:pPr>
      <w:r>
        <w:rPr>
          <w:rFonts w:ascii="Times New Roman"/>
          <w:b w:val="false"/>
          <w:i w:val="false"/>
          <w:color w:val="000000"/>
          <w:sz w:val="28"/>
        </w:rPr>
        <w:t xml:space="preserve">
      Адрес объекта </w:t>
      </w:r>
    </w:p>
    <w:p>
      <w:pPr>
        <w:spacing w:after="0"/>
        <w:ind w:left="0"/>
        <w:jc w:val="both"/>
      </w:pPr>
      <w:r>
        <w:rPr>
          <w:rFonts w:ascii="Times New Roman"/>
          <w:b w:val="false"/>
          <w:i w:val="false"/>
          <w:color w:val="000000"/>
          <w:sz w:val="28"/>
        </w:rPr>
        <w:t xml:space="preserve">
      Қала (елді мекен), жыл _____________________________________________________ </w:t>
      </w:r>
    </w:p>
    <w:p>
      <w:pPr>
        <w:spacing w:after="0"/>
        <w:ind w:left="0"/>
        <w:jc w:val="both"/>
      </w:pPr>
      <w:r>
        <w:rPr>
          <w:rFonts w:ascii="Times New Roman"/>
          <w:b w:val="false"/>
          <w:i w:val="false"/>
          <w:color w:val="000000"/>
          <w:sz w:val="28"/>
        </w:rPr>
        <w:t>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w:t>
            </w:r>
          </w:p>
          <w:p>
            <w:pPr>
              <w:spacing w:after="20"/>
              <w:ind w:left="20"/>
              <w:jc w:val="both"/>
            </w:pPr>
            <w:r>
              <w:rPr>
                <w:rFonts w:ascii="Times New Roman"/>
                <w:b w:val="false"/>
                <w:i w:val="false"/>
                <w:color w:val="000000"/>
                <w:sz w:val="20"/>
              </w:rPr>
              <w:t>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w:t>
            </w:r>
          </w:p>
          <w:p>
            <w:pPr>
              <w:spacing w:after="20"/>
              <w:ind w:left="20"/>
              <w:jc w:val="both"/>
            </w:pPr>
            <w:r>
              <w:rPr>
                <w:rFonts w:ascii="Times New Roman"/>
                <w:b w:val="false"/>
                <w:i w:val="false"/>
                <w:color w:val="000000"/>
                <w:sz w:val="20"/>
              </w:rPr>
              <w:t>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0"/>
              </w:rPr>
              <w:t>64-1-бабына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(согласно статьи 64-1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