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dce4" w14:textId="a0cd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газды қайта өңдеуді дамыту бағдарламасының нысанын бекіту туралы" Қазақстан Республикасы Энергетика министрінің 2018 жылғы 5 мамырдағы №165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25 маусымдағы № 231 бұйрығы. Қазақстан Республикасының Әділет министрлігінде 2024 жылғы 26 маусымда № 34588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"Шикі газды қайта өңдеуді дамыту бағдарламасының нысанын бекіту туралы" Қазақстан Республикасы Энергетика министрінің 2018 жылғы 5 мамырдағы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шикі газды қайта өңдеуді дамыту бағдарламасының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әзірлеуге негіздеме: жер қойнауын пайдаланушы бекіткен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өзге де заңдарында көзделген оң қорытынды алынған базалық жобалау құжатының сараптамалары немесе әзірлеменің талдауы";</w:t>
      </w:r>
    </w:p>
    <w:bookmarkStart w:name="z5" w:id="1"/>
    <w:p>
      <w:pPr>
        <w:spacing w:after="0"/>
        <w:ind w:left="0"/>
        <w:jc w:val="both"/>
      </w:pPr>
      <w:r>
        <w:rPr>
          <w:rFonts w:ascii="Times New Roman"/>
          <w:b w:val="false"/>
          <w:i w:val="false"/>
          <w:color w:val="000000"/>
          <w:sz w:val="28"/>
        </w:rPr>
        <w:t>
      Ескертпе жаңа редакцияда жазылсын:</w:t>
      </w:r>
    </w:p>
    <w:bookmarkEnd w:id="1"/>
    <w:bookmarkStart w:name="z6" w:id="2"/>
    <w:p>
      <w:pPr>
        <w:spacing w:after="0"/>
        <w:ind w:left="0"/>
        <w:jc w:val="both"/>
      </w:pPr>
      <w:r>
        <w:rPr>
          <w:rFonts w:ascii="Times New Roman"/>
          <w:b w:val="false"/>
          <w:i w:val="false"/>
          <w:color w:val="000000"/>
          <w:sz w:val="28"/>
        </w:rPr>
        <w:t>
      "Ескертпе*: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Шикі газды қайта өңдеуді дамыту бағдарламасы шикі газды қайта өңдеуді дамыту мәселелері жөніндегі жұмыс тобының ұсынымдарын ескере отырып, көмірсутектер саласындағы уәкілетті органның бекітуіне жатады және "Жер қойнауы және жер қойнауын пайдалану туралы" Қазақстан Республикасының Кодексі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әр үш жыл сайын жаңартылып отыруға тиіс."</w:t>
      </w:r>
    </w:p>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түрде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