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a151" w14:textId="4a1a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0 мамырдағы № 108 бұйрығы. Қазақстан Республикасының Әділет министрлігінде 2024 жылғы 24 мамырда № 344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16. Білім алушылардың оқу практикасындағы, сондай-ақ, кәсіпорындардағы (ұйымдардағы) жұмыс күнінің ұзақтығы жасына және өндіріс жағдайларына байланысты жұмыскерлердің тиісті санаттары үшін қолданыстағы еңбек туралы заңнамаға сәйкес айқынд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Кәсіптік практиканың базасы ретінде анықталған кәсіпорынмен (ұйыммен) Қазақстан Республикасы Білім және ғылым министрінің 2016 жылғы 28 қаңтардағы № 93 (Нормативтік құқықтық актілерді мемлекеттік тіркеу тізілімінде № 13227 тіркелген)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тік практикадан өткізуге арналған үлгілік шартқа сәйкес кәсіптік практикадан өту туралы шарт жасалады.</w:t>
      </w:r>
    </w:p>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bookmarkStart w:name="z8"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