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cdfb" w14:textId="c60c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бағалау өлшемшарттарын бекіту туралы" Қазақстан Республикасы Оқу-ағарту министрінің 2022 жылғы 5 желтоқсандағы № 486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15 мамырдағы № 106 бұйрығы. Қазақстан Республикасының Әділет министрлігінде 2024 жылғы 20 мамырда № 34387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ұйымдарын бағалау өлшемшарттарын бекіту туралы" Қазақстан Республикасы Оқу-ағарту министрінің 2022 жылғы 5 желтоқсандағы № 486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31053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ұйымдарын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Бастауыш, негізгі орта және жалпы орта білім беретін оқу бағдарламаларын іске асыратын білім беру ұйымдарын бағалауына арналған </w:t>
      </w:r>
      <w:r>
        <w:rPr>
          <w:rFonts w:ascii="Times New Roman"/>
          <w:b w:val="false"/>
          <w:i w:val="false"/>
          <w:color w:val="000000"/>
          <w:sz w:val="28"/>
        </w:rPr>
        <w:t>өлшемшарттарда</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реттік нөмірлері 4 және 5-жолдар жаңа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30721 тіркелген) сәйкес негізгі жұмыс орны лицензиат болып табылатын педагог-сарапшылардың, педагог-зерттеушілердің, педагог-шеберлердің бастауыш білім беру деңгейіндегі педагогтердің жалпы санынан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45 %-дан жоғары, гимназиялар - 50 % -дан жоғары;</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- 30 %-дан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 -дан 44 % аралығында, гимназиялар –40%- дан 49% аралығында;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25%-дан 29%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25%-дан 34 % аралығында, гимназиялар –30%-дан 39% аралығында;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24%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25 % -дан төмен, гимназиялар –30% -дан төмен;</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 20%-дан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30721 тіркелген) сәйкес негізгі жұмыс орны лицензиат болып табылатын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- 55 %-дан жоғары, лицейлер - 60 %-дан жоғары, оның ішінде жаратылыстану-математикалық бағыттағы педагогтердің үлесі 50%-дан жоғары, гимназиялар үшін 60 %-дан жоғары, оның ішінде қоғамдық-гуманитарлық бағыттағы педагогтердің үлесі 50%-дан жоғары,</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65 %-дан жоғары,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35 %-дан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-45% -дан 54 % аралығында, лицейлер - 50%-дан 59 % аралығында, оның ішінде жаратылыстану-математикалық бағыттағы педагогтердің үлесі 40%-дан 49% аралығында, гимназиялар үшін 50%-дан 59 % аралығында, оның ішінде қоғамдық-гуманитарлық бағыттағы педагогтердің үлесі 40%-дан 49% аралығында,</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55%-дан 64%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30%-дан 34 %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-35%-дан 44 % аралығында, лицейлер - 40%-дан 49 % аралығында, оның ішінде жаратылыстану-математикалық бағыттағы педагогтердің үлесі30%-дан 39% аралығында, гимназиялар үшін 40%-дан 49 % аралығында, оның ішінде қоғамдық-гуманитарлық бағыттағы педагогтердің үлесі 30%-дан 39% аралығында,</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45%-дан 54% аралығында,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25%-дан 29 % аралығында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мектеп-гимназиялар, мектеп-лицейлер -35%-дан төмен, лицейлер - 40 %-дан төмен, оның ішінде жаратылыстану-математикалық бағыттағы педагогтердің үлесі30%-дан төмен, гимназиялар үшін 40 %-дан төмен, оның ішінде қоғамдық-гуманитарлық бағыттағы педагогтердің үлесі 30%-дан төмен,</w:t>
            </w:r>
          </w:p>
          <w:p>
            <w:pPr>
              <w:spacing w:after="20"/>
              <w:ind w:left="20"/>
              <w:jc w:val="both"/>
            </w:pPr>
            <w:r>
              <w:rPr>
                <w:rFonts w:ascii="Times New Roman"/>
                <w:b w:val="false"/>
                <w:i w:val="false"/>
                <w:color w:val="000000"/>
                <w:sz w:val="20"/>
              </w:rPr>
              <w:t>
дарынды балаларға арналған мамандандырылған білім беру ұйымдары үшін 45%-дан төмен,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Шағын жинақталған білім беру ұйымдары үшін:</w:t>
            </w:r>
          </w:p>
          <w:p>
            <w:pPr>
              <w:spacing w:after="20"/>
              <w:ind w:left="20"/>
              <w:jc w:val="both"/>
            </w:pPr>
            <w:r>
              <w:rPr>
                <w:rFonts w:ascii="Times New Roman"/>
                <w:b w:val="false"/>
                <w:i w:val="false"/>
                <w:color w:val="000000"/>
                <w:sz w:val="20"/>
              </w:rPr>
              <w:t>
жалпы білім беретін мектептер 25 %-дан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 бағалауға арналған </w:t>
      </w:r>
      <w:r>
        <w:rPr>
          <w:rFonts w:ascii="Times New Roman"/>
          <w:b w:val="false"/>
          <w:i w:val="false"/>
          <w:color w:val="000000"/>
          <w:sz w:val="28"/>
        </w:rPr>
        <w:t>өлшемшарттарда</w:t>
      </w:r>
      <w:r>
        <w:rPr>
          <w:rFonts w:ascii="Times New Roman"/>
          <w:b w:val="false"/>
          <w:i w:val="false"/>
          <w:color w:val="000000"/>
          <w:sz w:val="28"/>
        </w:rPr>
        <w:t xml:space="preserve">: </w:t>
      </w:r>
    </w:p>
    <w:bookmarkStart w:name="z7" w:id="2"/>
    <w:p>
      <w:pPr>
        <w:spacing w:after="0"/>
        <w:ind w:left="0"/>
        <w:jc w:val="both"/>
      </w:pPr>
      <w:r>
        <w:rPr>
          <w:rFonts w:ascii="Times New Roman"/>
          <w:b w:val="false"/>
          <w:i w:val="false"/>
          <w:color w:val="000000"/>
          <w:sz w:val="28"/>
        </w:rPr>
        <w:t xml:space="preserve">
      реттік нөмірлері 4, 5, 6, 7, 8 және 9-жолдар жаңа редакцияда жазылсын: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педагогтер мен өндірістік оқыту шеберлері үшін даярланатын білім беру бағдарламаларының тізіліміне енгізілген мамандықтар (жұмысшы біліктіліктерін қоспағанда) бойынша педагогтердің жалпы санынан)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70 - 84 %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білім беру бағдарламаларының тізіліміне енгізілген мамандықтар бойынша жалпы білім беретін пәндер бойынша педагогтердің жалпы санынан лицензиат негізгі жұмыс орны болып табылатын білім беру ұйымдарының жалпы білім беретін пәндері бойынша педагогтердің үлесі (жұмысшы біліктіліктері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білім беру бағдарламаларының тізіліміне енгізілген мамандықтар бойынша педагогтердің жалпы санынан лицензиат негізгі жұмыс орны болып табылатын өнер және мәдениет саласында білім беру бағдарламаларын іске асыратын білім беру ұйымдары үшін педагогтердің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бойынша педагогтер санынан педагог-сарапшылардың, педагог-зерттеушідің,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(техникалық және кәсіптік білім беру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бойынша педагогтер санынан педагог-сарапшылардың, педагог-зерттеушідің,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 (орта білімнен кейінгі білім беру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даярланатын білім беру бағдарламаларының тізіліміне енгізілген мамандықтар (мамандық бойынша педагогтердің) бойынша педагогтер санынан ұйымдарда және/немесе өндірісте көлемі соңғы 3 жылда төменінде 36 сағат тағылымдамадан өткен арнайы пәндер педагогтерімен өндірістік оқыту шеберлерінің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реттік нөмірі 14-жол жаңа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контингентіне қатысты оқу жұмыс жоспарына сәйкес, оның ішінде даярланатын білім беру бағдарламаларының тізіліміне енгізілген мамандықтар бойынша толық оқу кезеңіне оқу тілдері бойынша оқу және ғылыми әдебиеттің кітапханалық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 заңнамасында белгіленген тәртіппен:</w:t>
      </w:r>
    </w:p>
    <w:bookmarkEnd w:id="4"/>
    <w:bookmarkStart w:name="z10"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11"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Оқу-ағарту министрлігінің Заң департаментіне ұсынуды қамтамасыз етсін.</w:t>
      </w:r>
    </w:p>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