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145f" w14:textId="9101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15 мамырдағы № 190-НҚ бұйрығы. Қазақстан Республикасының Әділет министрлігінде 2024 жылғы 17 мамырда № 34380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12-тармақ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құрам бойынша (іссапарлар, демалыстар, көтермелеу, біліктілікті арттыру, тәртіптік жазалар қолдану және алып тастау, аттестаттау, білім алу, атақтар (шендер) беру, тегінің (әкесінің атын) өзгерту жөнінде, марапаттау, еңбекақы төлеу, сыйақы беру, төлемдер, жәрдемақылар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архиві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