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99d4" w14:textId="8129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2024 жылға арналған стипендиясын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14 мамырдағы № 226 бұйрығы. Қазақстан Республикасының Әділет министрлігінде 2024 жылғы 15 мамырда № 34367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стипендиясын тағайындау туралы" Қазақстан Республикасы Президентінің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2024 жылға арналған стипендиясын министрліктер арасында бөлу бекітілсін.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2024 жылғы 14 мамырдағы </w:t>
            </w:r>
            <w:r>
              <w:br/>
            </w:r>
            <w:r>
              <w:rPr>
                <w:rFonts w:ascii="Times New Roman"/>
                <w:b w:val="false"/>
                <w:i w:val="false"/>
                <w:color w:val="000000"/>
                <w:sz w:val="20"/>
              </w:rPr>
              <w:t xml:space="preserve">№ 226 бұйрыққа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Қазақстан Республикасы Президентінің 2024 жылға арналған стипендиясын министрліктер арасында бөлу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