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c353" w14:textId="d2bc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 мамырдағы № 22 бұйрығы. Қазақстан Республикасының Әділет министрлігінде 2024 жылғы 2 мамырда № 34323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5"/>
    <w:bookmarkStart w:name="z15" w:id="6"/>
    <w:p>
      <w:pPr>
        <w:spacing w:after="0"/>
        <w:ind w:left="0"/>
        <w:jc w:val="both"/>
      </w:pPr>
      <w:r>
        <w:rPr>
          <w:rFonts w:ascii="Times New Roman"/>
          <w:b w:val="false"/>
          <w:i w:val="false"/>
          <w:color w:val="000000"/>
          <w:sz w:val="28"/>
        </w:rPr>
        <w:t xml:space="preserve">
      1. "Ұлттық басқарушы холдингтердің, ұлттық холдингтердің және ұлттық компаниялардың даму жоспарларының орындалуы жөніндегі есептерді және акционері мемлекет болып табылатын ұлттық басқарушы холдингтердің, ұлттық холдингтердің, ұлттық компаниялардың іс-шаралар жоспарларын әзірлеу және ұсыну қағидаларын бекіту туралы" Қазақстан Республикасы Ұлттық экономика министрінің 2015 жылғы 26 ақпандағы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10685 болып тіркелген):</w:t>
      </w:r>
    </w:p>
    <w:bookmarkEnd w:id="6"/>
    <w:bookmarkStart w:name="z16" w:id="7"/>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p>
      <w:pPr>
        <w:spacing w:after="0"/>
        <w:ind w:left="0"/>
        <w:jc w:val="both"/>
      </w:pPr>
      <w:r>
        <w:rPr>
          <w:rFonts w:ascii="Times New Roman"/>
          <w:b w:val="false"/>
          <w:i w:val="false"/>
          <w:color w:val="000000"/>
          <w:sz w:val="28"/>
        </w:rPr>
        <w:t>
      1) компания – акционері мемлекет болып табылатын ұлттық басқарушы холдингтер, ұлттық холдингтер, ұлттық компаниялар;</w:t>
      </w:r>
    </w:p>
    <w:p>
      <w:pPr>
        <w:spacing w:after="0"/>
        <w:ind w:left="0"/>
        <w:jc w:val="both"/>
      </w:pPr>
      <w:r>
        <w:rPr>
          <w:rFonts w:ascii="Times New Roman"/>
          <w:b w:val="false"/>
          <w:i w:val="false"/>
          <w:color w:val="000000"/>
          <w:sz w:val="28"/>
        </w:rPr>
        <w:t>
      2) қызметтің түйінді көрсеткіші – даму жоспарының мақсатына қол жеткізу деңгейін айқындауға мүмкіндік беретін сандық тұрғыдан өлшенетін көрсеткіш;</w:t>
      </w:r>
    </w:p>
    <w:p>
      <w:pPr>
        <w:spacing w:after="0"/>
        <w:ind w:left="0"/>
        <w:jc w:val="both"/>
      </w:pPr>
      <w:r>
        <w:rPr>
          <w:rFonts w:ascii="Times New Roman"/>
          <w:b w:val="false"/>
          <w:i w:val="false"/>
          <w:color w:val="000000"/>
          <w:sz w:val="28"/>
        </w:rPr>
        <w:t xml:space="preserve">
      3)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органның аумақтық бөлімшелерінің активтерін басқару және пайдалану жөніндегі функциялар жүктелген, Қазақстан Республикасы Үкіметінің шешімі бойынша айқындалған, жарғылық капиталына мемлекет қатысатын заңды тұлға;</w:t>
      </w:r>
    </w:p>
    <w:p>
      <w:pPr>
        <w:spacing w:after="0"/>
        <w:ind w:left="0"/>
        <w:jc w:val="both"/>
      </w:pPr>
      <w:r>
        <w:rPr>
          <w:rFonts w:ascii="Times New Roman"/>
          <w:b w:val="false"/>
          <w:i w:val="false"/>
          <w:color w:val="000000"/>
          <w:sz w:val="28"/>
        </w:rPr>
        <w:t>
      4) электрондық есеп – Тізілімнің веб-порталында дайындалған және ұлттық куәландырушы орталық берген компанияның электрондық цифрлық қолтаңбасы қойылатын даму жоспарының орындалуы жөніндегі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"5. Даму жоспарының орындалуы жөніндегі есепті әзірлеу және бекіту жылдық аудиттелген қаржылық есептілік бекітілгеннен кейін мынадай тәртіппен жүзеге асырылады:</w:t>
      </w:r>
    </w:p>
    <w:bookmarkEnd w:id="9"/>
    <w:p>
      <w:pPr>
        <w:spacing w:after="0"/>
        <w:ind w:left="0"/>
        <w:jc w:val="both"/>
      </w:pPr>
      <w:r>
        <w:rPr>
          <w:rFonts w:ascii="Times New Roman"/>
          <w:b w:val="false"/>
          <w:i w:val="false"/>
          <w:color w:val="000000"/>
          <w:sz w:val="28"/>
        </w:rPr>
        <w:t>
      1) жылдық аудиттелген қаржылық есептілік бекітілген күннен бастап он бес жұмыс күні ішінде атқарушы орган Бірыңғай оператор әзірлеген Тізілімнің веб-порталында Даму жоспарының орындалуы жөніндегі есептің жобасын әзірлеуді жүзеге асырады және оны компанияның директорлар кеңесінің қарауына енгізеді.</w:t>
      </w:r>
    </w:p>
    <w:p>
      <w:pPr>
        <w:spacing w:after="0"/>
        <w:ind w:left="0"/>
        <w:jc w:val="both"/>
      </w:pPr>
      <w:r>
        <w:rPr>
          <w:rFonts w:ascii="Times New Roman"/>
          <w:b w:val="false"/>
          <w:i w:val="false"/>
          <w:color w:val="000000"/>
          <w:sz w:val="28"/>
        </w:rPr>
        <w:t>
      Компанияның директорлар кеңесі он бес жұмыс күні ішінде Даму жоспарының орындалуы жөніндегі есептің жобасын қарайды және оны бекіту туралы не пысықтау үшін атқарушы органға қайтару туралы шешім қабылдайды.</w:t>
      </w:r>
    </w:p>
    <w:p>
      <w:pPr>
        <w:spacing w:after="0"/>
        <w:ind w:left="0"/>
        <w:jc w:val="both"/>
      </w:pPr>
      <w:r>
        <w:rPr>
          <w:rFonts w:ascii="Times New Roman"/>
          <w:b w:val="false"/>
          <w:i w:val="false"/>
          <w:color w:val="000000"/>
          <w:sz w:val="28"/>
        </w:rPr>
        <w:t>
      Ескертулер болса, атқарушы орган Даму жоспарының орындалуы жөніндегі есептің жобасын компанияның директорлар кеңесі айқындаған, бірақ ескертулерді алған күннен бастап он жұмыс күнінен аспайтын мерзімде пысықтайды және оны компанияның директорлар кеңесінің қарауына қайта ұсынады;</w:t>
      </w:r>
    </w:p>
    <w:p>
      <w:pPr>
        <w:spacing w:after="0"/>
        <w:ind w:left="0"/>
        <w:jc w:val="both"/>
      </w:pPr>
      <w:r>
        <w:rPr>
          <w:rFonts w:ascii="Times New Roman"/>
          <w:b w:val="false"/>
          <w:i w:val="false"/>
          <w:color w:val="000000"/>
          <w:sz w:val="28"/>
        </w:rPr>
        <w:t>
      2) Даму жоспарының орындалуы жөніндегі есептің жобасы компанияның директорлар кеңесінің отырысында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 w:id="10"/>
    <w:p>
      <w:pPr>
        <w:spacing w:after="0"/>
        <w:ind w:left="0"/>
        <w:jc w:val="both"/>
      </w:pPr>
      <w:r>
        <w:rPr>
          <w:rFonts w:ascii="Times New Roman"/>
          <w:b w:val="false"/>
          <w:i w:val="false"/>
          <w:color w:val="000000"/>
          <w:sz w:val="28"/>
        </w:rPr>
        <w:t>
      "8. Есепті кезеңнен кейінгі төртінші айдың отызыншы күніне дейін бекітілген жылдық аудиттелген қаржылық есептілік болмаған жағдайда атқарушы орган Бірыңғай оператор әзірлеген Тізілімнің веб-порталында Даму жоспарының орындалуы жөніндегі есептің жобасын (жедел деректер бойынша) әзірлеуді жүзеге асырады және электрондық есепті (жедел деректер бойынша) Бірыңғай операторға есепті кезеңнен кейінгі алтыншы айдың бірінші күнінен кешіктірмей Тізілімге енгізу үшін жібереді.</w:t>
      </w:r>
    </w:p>
    <w:bookmarkEnd w:id="10"/>
    <w:p>
      <w:pPr>
        <w:spacing w:after="0"/>
        <w:ind w:left="0"/>
        <w:jc w:val="both"/>
      </w:pPr>
      <w:r>
        <w:rPr>
          <w:rFonts w:ascii="Times New Roman"/>
          <w:b w:val="false"/>
          <w:i w:val="false"/>
          <w:color w:val="000000"/>
          <w:sz w:val="28"/>
        </w:rPr>
        <w:t xml:space="preserve">
      Электрондық есеп (жедел деректер бойынша)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Тізілімге енгізу үшін ұсынылады.";</w:t>
      </w:r>
    </w:p>
    <w:bookmarkStart w:name="z32" w:id="11"/>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іс-шаралар жоспарларының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xml:space="preserve">
      1) компания – акционері мемлекет болып табылатын ұлттық басқарушы холдингтер, ұлттық холдингтер, ұлттық компаниялар; </w:t>
      </w:r>
    </w:p>
    <w:p>
      <w:pPr>
        <w:spacing w:after="0"/>
        <w:ind w:left="0"/>
        <w:jc w:val="both"/>
      </w:pPr>
      <w:r>
        <w:rPr>
          <w:rFonts w:ascii="Times New Roman"/>
          <w:b w:val="false"/>
          <w:i w:val="false"/>
          <w:color w:val="000000"/>
          <w:sz w:val="28"/>
        </w:rPr>
        <w:t xml:space="preserve">
      2) мемлекеттік мүлікті есепке алу саласындағы бірыңғай оператор (бұдан әрі – Бірыңғай оператор) – Заңның 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органның аумақтық бөлімшелерінің активтерін басқару және пайдалану жөніндегі функциялар жүктелген, Қазақстан Республикасы Үкіметінің шешімі бойынша айқындалған, жарғылық капиталына мемлекет қатысатын заңды тұлға;</w:t>
      </w:r>
    </w:p>
    <w:p>
      <w:pPr>
        <w:spacing w:after="0"/>
        <w:ind w:left="0"/>
        <w:jc w:val="both"/>
      </w:pPr>
      <w:r>
        <w:rPr>
          <w:rFonts w:ascii="Times New Roman"/>
          <w:b w:val="false"/>
          <w:i w:val="false"/>
          <w:color w:val="000000"/>
          <w:sz w:val="28"/>
        </w:rPr>
        <w:t>
      3) электрондық есеп – Тізілімнің веб-порталында дайындалған және ұлттық куәландырушы орталық берген компанияның электрондық цифрлық қолтаңбасы қойылатын іс-шаралар жоспарының орындалуы жөніндегі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13"/>
    <w:p>
      <w:pPr>
        <w:spacing w:after="0"/>
        <w:ind w:left="0"/>
        <w:jc w:val="both"/>
      </w:pPr>
      <w:r>
        <w:rPr>
          <w:rFonts w:ascii="Times New Roman"/>
          <w:b w:val="false"/>
          <w:i w:val="false"/>
          <w:color w:val="000000"/>
          <w:sz w:val="28"/>
        </w:rPr>
        <w:t>
      "5. Іс-шаралар жоспарының орындалуы жөніндегі есепті әзірлеу және бекіту жылдық аудиттелген қаржылық есептілік бекітілгеннен кейін мынадай тәртіппен жүзеге асырылады:</w:t>
      </w:r>
    </w:p>
    <w:bookmarkEnd w:id="13"/>
    <w:p>
      <w:pPr>
        <w:spacing w:after="0"/>
        <w:ind w:left="0"/>
        <w:jc w:val="both"/>
      </w:pPr>
      <w:r>
        <w:rPr>
          <w:rFonts w:ascii="Times New Roman"/>
          <w:b w:val="false"/>
          <w:i w:val="false"/>
          <w:color w:val="000000"/>
          <w:sz w:val="28"/>
        </w:rPr>
        <w:t>
      1) жылдық аудиттелген қаржылық есептілік бекітілген күннен бастап он бес жұмыс күні ішінде атқарушы орган Бірыңғай оператор әзірлеген Тізілімнің веб-порталында Іс-шаралар жоспарының орындалуы жөніндегі есептің жобасын әзірлеуді жүзеге асырады және оны компанияның директорлар кеңесінің қарауына енгізеді.</w:t>
      </w:r>
    </w:p>
    <w:p>
      <w:pPr>
        <w:spacing w:after="0"/>
        <w:ind w:left="0"/>
        <w:jc w:val="both"/>
      </w:pPr>
      <w:r>
        <w:rPr>
          <w:rFonts w:ascii="Times New Roman"/>
          <w:b w:val="false"/>
          <w:i w:val="false"/>
          <w:color w:val="000000"/>
          <w:sz w:val="28"/>
        </w:rPr>
        <w:t>
      Компанияның директорлар кеңесі он бес жұмыс күні ішінде Іс-шаралар жоспарының орындалуы жөніндегі есептің жобасын қарайды және бекіту туралы не пысықтау үшін атқарушы органға қайтару туралы шешім қабылдайды.</w:t>
      </w:r>
    </w:p>
    <w:p>
      <w:pPr>
        <w:spacing w:after="0"/>
        <w:ind w:left="0"/>
        <w:jc w:val="both"/>
      </w:pPr>
      <w:r>
        <w:rPr>
          <w:rFonts w:ascii="Times New Roman"/>
          <w:b w:val="false"/>
          <w:i w:val="false"/>
          <w:color w:val="000000"/>
          <w:sz w:val="28"/>
        </w:rPr>
        <w:t>
      Ескертулер болса, атқарушы орган Іс-шаралар жоспарының орындалуы жөніндегі есептің жобасын компанияның директорлар кеңесі айқындаған, бірақ ескертулерді алған күннен бастап он жұмыс күнінен аспайтын мерзімде пысықтайды және оны компанияның директорлар кеңесінің қарауына қайта ұсынады;</w:t>
      </w:r>
    </w:p>
    <w:p>
      <w:pPr>
        <w:spacing w:after="0"/>
        <w:ind w:left="0"/>
        <w:jc w:val="both"/>
      </w:pPr>
      <w:r>
        <w:rPr>
          <w:rFonts w:ascii="Times New Roman"/>
          <w:b w:val="false"/>
          <w:i w:val="false"/>
          <w:color w:val="000000"/>
          <w:sz w:val="28"/>
        </w:rPr>
        <w:t xml:space="preserve">
      2) Іс-шаралар жоспарының орындалуы жөніндегі есептің жобасы компанияның директорлар кеңесінің отырысында бекітіледі.";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14"/>
    <w:p>
      <w:pPr>
        <w:spacing w:after="0"/>
        <w:ind w:left="0"/>
        <w:jc w:val="both"/>
      </w:pPr>
      <w:r>
        <w:rPr>
          <w:rFonts w:ascii="Times New Roman"/>
          <w:b w:val="false"/>
          <w:i w:val="false"/>
          <w:color w:val="000000"/>
          <w:sz w:val="28"/>
        </w:rPr>
        <w:t>
      "8. Есепті кезеңнен кейінгі үшінші айдың отызыншы күніне дейін бекітілген жылдық аудиттелген қаржылық есептілік болмаған жағдайда атқарушы орган Бірыңғай оператор әзірлеген Тізілімнің веб-порталында Іс-шаралар жоспарының орындалуы жөніндегі есептің жобасын (жедел деректер бойынша) әзірлеуді жүзеге асырады және электрондық есепті (жедел деректер бойынша) Бірыңғай операторға есепті кезеңнен кейінгі бесінші айдың бірінші күнінен кешіктірмей Тізілімге енгізу үшін жібереді.</w:t>
      </w:r>
    </w:p>
    <w:bookmarkEnd w:id="14"/>
    <w:p>
      <w:pPr>
        <w:spacing w:after="0"/>
        <w:ind w:left="0"/>
        <w:jc w:val="both"/>
      </w:pPr>
      <w:r>
        <w:rPr>
          <w:rFonts w:ascii="Times New Roman"/>
          <w:b w:val="false"/>
          <w:i w:val="false"/>
          <w:color w:val="000000"/>
          <w:sz w:val="28"/>
        </w:rPr>
        <w:t>
      Іс-шаралар жоспарының орындалуы жөніндегі есепті (жедел деректер бойынша) әзірлеу және бекіту мынадай тәртіппен жүзеге асырылады:</w:t>
      </w:r>
    </w:p>
    <w:p>
      <w:pPr>
        <w:spacing w:after="0"/>
        <w:ind w:left="0"/>
        <w:jc w:val="both"/>
      </w:pPr>
      <w:r>
        <w:rPr>
          <w:rFonts w:ascii="Times New Roman"/>
          <w:b w:val="false"/>
          <w:i w:val="false"/>
          <w:color w:val="000000"/>
          <w:sz w:val="28"/>
        </w:rPr>
        <w:t>
      1) Іс-шаралар жоспарының орындалуы жөніндегі есепті әзірлеуге жауапты компанияның құрылымдық бөлімшесі есепті кезеңнен кейінгі төртінші айдың оныншы күнінен кешіктірмей Іс-шаралар жоспарының орындалуы жөніндегі есептің жобасын (жедел деректер бойынша) әзірлеуді жүзеге асырады және оны компанияның атқарушы органының қарауына енгізеді.</w:t>
      </w:r>
    </w:p>
    <w:p>
      <w:pPr>
        <w:spacing w:after="0"/>
        <w:ind w:left="0"/>
        <w:jc w:val="both"/>
      </w:pPr>
      <w:r>
        <w:rPr>
          <w:rFonts w:ascii="Times New Roman"/>
          <w:b w:val="false"/>
          <w:i w:val="false"/>
          <w:color w:val="000000"/>
          <w:sz w:val="28"/>
        </w:rPr>
        <w:t>
      Компанияның атқарушы органы күнтізбелік жеті күн ішінде Іс-шаралар жоспарының орындалуы жөніндегі есептің жобасын (жедел деректер бойынша) қарайды және бекіту туралы не оны пысықтау үшін қайтару туралы шешім қабылдайды.</w:t>
      </w:r>
    </w:p>
    <w:p>
      <w:pPr>
        <w:spacing w:after="0"/>
        <w:ind w:left="0"/>
        <w:jc w:val="both"/>
      </w:pPr>
      <w:r>
        <w:rPr>
          <w:rFonts w:ascii="Times New Roman"/>
          <w:b w:val="false"/>
          <w:i w:val="false"/>
          <w:color w:val="000000"/>
          <w:sz w:val="28"/>
        </w:rPr>
        <w:t>
      Ескертулер болса, компанияның жауапты құрылымдық бөлімшесі Іс-шаралар жоспарының орындалуы жөніндегі есептің жобасын (жедел деректер бойынша) компанияның атқарушы органы айқындаған, бірақ ескертулерді алған кезден бастап күнтізбелік бес күннен аспайтын мерзімде пысықтайды және оны компанияның атқарушы органының қарауына қайта ұсынады;</w:t>
      </w:r>
    </w:p>
    <w:p>
      <w:pPr>
        <w:spacing w:after="0"/>
        <w:ind w:left="0"/>
        <w:jc w:val="both"/>
      </w:pPr>
      <w:r>
        <w:rPr>
          <w:rFonts w:ascii="Times New Roman"/>
          <w:b w:val="false"/>
          <w:i w:val="false"/>
          <w:color w:val="000000"/>
          <w:sz w:val="28"/>
        </w:rPr>
        <w:t>
      2) Іс-шаралар жоспарының орындалуы жөніндегі есептің жобасын (жедел деректер бойынша) компанияның атқарушы органы бекітеді.</w:t>
      </w:r>
    </w:p>
    <w:p>
      <w:pPr>
        <w:spacing w:after="0"/>
        <w:ind w:left="0"/>
        <w:jc w:val="both"/>
      </w:pPr>
      <w:r>
        <w:rPr>
          <w:rFonts w:ascii="Times New Roman"/>
          <w:b w:val="false"/>
          <w:i w:val="false"/>
          <w:color w:val="000000"/>
          <w:sz w:val="28"/>
        </w:rPr>
        <w:t>
      Іс-шаралар жоспарының орындалуы жөніндегі есепті (жедел деректер бойынша) бекіту қорытындылары бойынша үш жұмыс күні ішінде электрондық есепке компанияның атқарушы органының оны бекіту туралы шешімінің сканерленген көшірмесін тіркей отырып, Тізілімге енгізу үшін Бірыңғай операторға электрондық есеп жіберіледі.".</w:t>
      </w:r>
    </w:p>
    <w:bookmarkStart w:name="z52" w:id="15"/>
    <w:p>
      <w:pPr>
        <w:spacing w:after="0"/>
        <w:ind w:left="0"/>
        <w:jc w:val="both"/>
      </w:pPr>
      <w:r>
        <w:rPr>
          <w:rFonts w:ascii="Times New Roman"/>
          <w:b w:val="false"/>
          <w:i w:val="false"/>
          <w:color w:val="000000"/>
          <w:sz w:val="28"/>
        </w:rPr>
        <w:t xml:space="preserve">
      2.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10663 болып тіркелген): </w:t>
      </w:r>
    </w:p>
    <w:bookmarkEnd w:id="15"/>
    <w:bookmarkStart w:name="z53" w:id="16"/>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55" w:id="17"/>
    <w:p>
      <w:pPr>
        <w:spacing w:after="0"/>
        <w:ind w:left="0"/>
        <w:jc w:val="both"/>
      </w:pPr>
      <w:r>
        <w:rPr>
          <w:rFonts w:ascii="Times New Roman"/>
          <w:b w:val="false"/>
          <w:i w:val="false"/>
          <w:color w:val="000000"/>
          <w:sz w:val="28"/>
        </w:rPr>
        <w:t xml:space="preserve">
      "1. Осы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мониторингтеу және бағалау тәртібін (бұдан әрі – даму жоспары) айқындайды.</w:t>
      </w:r>
    </w:p>
    <w:bookmarkEnd w:id="17"/>
    <w:bookmarkStart w:name="z56" w:id="18"/>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8"/>
    <w:p>
      <w:pPr>
        <w:spacing w:after="0"/>
        <w:ind w:left="0"/>
        <w:jc w:val="both"/>
      </w:pPr>
      <w:r>
        <w:rPr>
          <w:rFonts w:ascii="Times New Roman"/>
          <w:b w:val="false"/>
          <w:i w:val="false"/>
          <w:color w:val="000000"/>
          <w:sz w:val="28"/>
        </w:rPr>
        <w:t xml:space="preserve">
      1) атқарушы орган – алқалы орган немесе атауы компанияның жарғысында айқындалатын атқарушы органның функцияларын жеке-дара жүзеге асыратын тұлға; </w:t>
      </w:r>
    </w:p>
    <w:p>
      <w:pPr>
        <w:spacing w:after="0"/>
        <w:ind w:left="0"/>
        <w:jc w:val="both"/>
      </w:pPr>
      <w:r>
        <w:rPr>
          <w:rFonts w:ascii="Times New Roman"/>
          <w:b w:val="false"/>
          <w:i w:val="false"/>
          <w:color w:val="000000"/>
          <w:sz w:val="28"/>
        </w:rPr>
        <w:t>
      2) ұлттық басқарушы холдингтердің, ұлттық холдингтердің және ұлттық компаниялардың даму жоспары (бұдан әрі –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p>
      <w:pPr>
        <w:spacing w:after="0"/>
        <w:ind w:left="0"/>
        <w:jc w:val="both"/>
      </w:pPr>
      <w:r>
        <w:rPr>
          <w:rFonts w:ascii="Times New Roman"/>
          <w:b w:val="false"/>
          <w:i w:val="false"/>
          <w:color w:val="000000"/>
          <w:sz w:val="28"/>
        </w:rPr>
        <w:t>
      3) компания – акционері мемлекет болып табылатын ұлттық басқарушы холдингтер, ұлттық холдингтер, ұлттық компаниялар;</w:t>
      </w:r>
    </w:p>
    <w:p>
      <w:pPr>
        <w:spacing w:after="0"/>
        <w:ind w:left="0"/>
        <w:jc w:val="both"/>
      </w:pPr>
      <w:r>
        <w:rPr>
          <w:rFonts w:ascii="Times New Roman"/>
          <w:b w:val="false"/>
          <w:i w:val="false"/>
          <w:color w:val="000000"/>
          <w:sz w:val="28"/>
        </w:rPr>
        <w:t>
      4) электрондық есеп – ұлттық куәландырушы орталық берген және мемлекеттік мүлік тізіліміне (бұдан әрі – Тізілім) енгізу үшін дайындалған, компанияның электрондық цифрлық қолтаңбасы қойылатын даму жоспарының мәтінін және/немесе қосымшаларымен оның іске асырылуын бағалауды және/немесе тиісті саланың уәкілетті органы басшысының электрондық цифрлық қолтаңбасы қойылатын даму жоспарының іске асырылуын мониторингтеу нәтижелерін қамтитын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62" w:id="19"/>
    <w:p>
      <w:pPr>
        <w:spacing w:after="0"/>
        <w:ind w:left="0"/>
        <w:jc w:val="both"/>
      </w:pPr>
      <w:r>
        <w:rPr>
          <w:rFonts w:ascii="Times New Roman"/>
          <w:b w:val="false"/>
          <w:i w:val="false"/>
          <w:color w:val="000000"/>
          <w:sz w:val="28"/>
        </w:rPr>
        <w:t>
      "3) қызметтің стратегиялық бағыттары, мақсаттары, қызметтің түйінді көрсеткіштері және олар бойынша күтілетін нәтижелер көрсетіледі.</w:t>
      </w:r>
    </w:p>
    <w:bookmarkEnd w:id="19"/>
    <w:p>
      <w:pPr>
        <w:spacing w:after="0"/>
        <w:ind w:left="0"/>
        <w:jc w:val="both"/>
      </w:pPr>
      <w:r>
        <w:rPr>
          <w:rFonts w:ascii="Times New Roman"/>
          <w:b w:val="false"/>
          <w:i w:val="false"/>
          <w:color w:val="000000"/>
          <w:sz w:val="28"/>
        </w:rPr>
        <w:t>
      Даму жоспары шеңберінде компания қызметінің стратегиялық бағыттары, мақсаттары, міндеттері, қызметінің түйінді көрсеткіштері және олар бойынша күтілетін нәтижелер көрсетіледі, оның ішінде жылдар бойынша бөліністе көрсетіледі.</w:t>
      </w:r>
    </w:p>
    <w:p>
      <w:pPr>
        <w:spacing w:after="0"/>
        <w:ind w:left="0"/>
        <w:jc w:val="both"/>
      </w:pPr>
      <w:r>
        <w:rPr>
          <w:rFonts w:ascii="Times New Roman"/>
          <w:b w:val="false"/>
          <w:i w:val="false"/>
          <w:color w:val="000000"/>
          <w:sz w:val="28"/>
        </w:rPr>
        <w:t>
      Қызметтің стратегиялық бағыттары миссияға сүйене отырып айқындалады және компания тиісті әлеуметтік-экономикалық міндеттерді шешуге барынша әсер ететін қызмет салаларын білдіреді.</w:t>
      </w:r>
    </w:p>
    <w:p>
      <w:pPr>
        <w:spacing w:after="0"/>
        <w:ind w:left="0"/>
        <w:jc w:val="both"/>
      </w:pPr>
      <w:r>
        <w:rPr>
          <w:rFonts w:ascii="Times New Roman"/>
          <w:b w:val="false"/>
          <w:i w:val="false"/>
          <w:color w:val="000000"/>
          <w:sz w:val="28"/>
        </w:rPr>
        <w:t>
      Әрбір стратегиялық бағыт үшін мақсаттар – нәтижесінде компанияның жалпы мақсаттарына қол жеткізуге әкелетін қызметтің нақты, өлшенетін бағдарлары әзірленеді.</w:t>
      </w:r>
    </w:p>
    <w:p>
      <w:pPr>
        <w:spacing w:after="0"/>
        <w:ind w:left="0"/>
        <w:jc w:val="both"/>
      </w:pPr>
      <w:r>
        <w:rPr>
          <w:rFonts w:ascii="Times New Roman"/>
          <w:b w:val="false"/>
          <w:i w:val="false"/>
          <w:color w:val="000000"/>
          <w:sz w:val="28"/>
        </w:rPr>
        <w:t>
      Әрбір мақсатты іске асыру шеңберінде міндеттер айқындалады, оларды шешу тиісті мақсатқа қол жеткізу үшін қажетті және жеткілікті шарт болып табылады. Сондай-ақ әрбір мақсат бойынша қызметтің 3-тен аспайтын түйінді көрсеткіші әзірленеді (жылдар бойынша бөліністе), олар бойынша компания қызметінің мақсаты мен стратегиялық бағытына қол жеткізу бағаланатын болады. Әрбір стратегиялық бағыт үшін алға қойылған мақсаттарға қол жеткізілгеннен кейін күтілетін нәтижелер сипатталады.</w:t>
      </w:r>
    </w:p>
    <w:p>
      <w:pPr>
        <w:spacing w:after="0"/>
        <w:ind w:left="0"/>
        <w:jc w:val="both"/>
      </w:pPr>
      <w:r>
        <w:rPr>
          <w:rFonts w:ascii="Times New Roman"/>
          <w:b w:val="false"/>
          <w:i w:val="false"/>
          <w:color w:val="000000"/>
          <w:sz w:val="28"/>
        </w:rPr>
        <w:t>
      Қызметтің стратегиялық бағыттарын, мақсаттарын, қызметтің түйінді көрсеткіштерін және олар бойынша күтілетін нәтижелерді онжылдық кезеңнің әрбір жылына бөле отырып, осы Қағидаларға 1-1-қосымшаға сәйкес нысан бойынша даму жоспарына жеке қосымша түрінде ресімдеу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69" w:id="20"/>
    <w:p>
      <w:pPr>
        <w:spacing w:after="0"/>
        <w:ind w:left="0"/>
        <w:jc w:val="both"/>
      </w:pPr>
      <w:r>
        <w:rPr>
          <w:rFonts w:ascii="Times New Roman"/>
          <w:b w:val="false"/>
          <w:i w:val="false"/>
          <w:color w:val="000000"/>
          <w:sz w:val="28"/>
        </w:rPr>
        <w:t>
      "12. Қордың атқарушы органы жоспарланып отырған онжылдық кезеңнің алдындағы жылдың 20 қарашасынан кешіктірмей Қордың директорлар кеңесі мақұлдаған Қордың даму жоспарының жобасын мемлекеттік жоспарлау жөніндегі уәкілетті органға енгізуді қамтамасыз етеді.</w:t>
      </w:r>
    </w:p>
    <w:bookmarkEnd w:id="20"/>
    <w:bookmarkStart w:name="z70" w:id="21"/>
    <w:p>
      <w:pPr>
        <w:spacing w:after="0"/>
        <w:ind w:left="0"/>
        <w:jc w:val="both"/>
      </w:pPr>
      <w:r>
        <w:rPr>
          <w:rFonts w:ascii="Times New Roman"/>
          <w:b w:val="false"/>
          <w:i w:val="false"/>
          <w:color w:val="000000"/>
          <w:sz w:val="28"/>
        </w:rPr>
        <w:t>
      13. Тиісті саланың уәкілетті органы жоспарланып отырған онжылдық кезеңнің алдындағы жылдың бірінші қарашасына дейін Қорды қоспағанда, компанияның директорлар кеңесі мақұлдаған компанияның даму жоспарын бекіту туралы Қазақстан Республикасының Үкіметі қаулысының жобасын Қазақстан Республикасының Үкіметіне енгізуді қамтамасыз етеді.</w:t>
      </w:r>
    </w:p>
    <w:bookmarkEnd w:id="21"/>
    <w:p>
      <w:pPr>
        <w:spacing w:after="0"/>
        <w:ind w:left="0"/>
        <w:jc w:val="both"/>
      </w:pPr>
      <w:r>
        <w:rPr>
          <w:rFonts w:ascii="Times New Roman"/>
          <w:b w:val="false"/>
          <w:i w:val="false"/>
          <w:color w:val="000000"/>
          <w:sz w:val="28"/>
        </w:rPr>
        <w:t>
      Мемлекеттік жоспарлау жөніндегі уәкілетті орган жоспарланып отырған онжылдық кезеңнің алдындағы жылдың бірінші желтоқсанынан кешіктірмей директорлар кеңесі мақұлдаған Қордың даму жоспарын бекіту туралы Қазақстан Республикасының Үкіметі қаулысының жобасын Қазақстан Республикасының Үкіметіне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3" w:id="22"/>
    <w:p>
      <w:pPr>
        <w:spacing w:after="0"/>
        <w:ind w:left="0"/>
        <w:jc w:val="both"/>
      </w:pPr>
      <w:r>
        <w:rPr>
          <w:rFonts w:ascii="Times New Roman"/>
          <w:b w:val="false"/>
          <w:i w:val="false"/>
          <w:color w:val="000000"/>
          <w:sz w:val="28"/>
        </w:rPr>
        <w:t>
      "21. Тиісті саланың уәкілетті органы бірыңғай оператор әзірлеген Тізілімнің веб-порталында компанияның даму жоспарының іске асырылуын мониторингтеу жөніндегі есепті дайындайды.</w:t>
      </w:r>
    </w:p>
    <w:bookmarkEnd w:id="22"/>
    <w:p>
      <w:pPr>
        <w:spacing w:after="0"/>
        <w:ind w:left="0"/>
        <w:jc w:val="both"/>
      </w:pPr>
      <w:r>
        <w:rPr>
          <w:rFonts w:ascii="Times New Roman"/>
          <w:b w:val="false"/>
          <w:i w:val="false"/>
          <w:color w:val="000000"/>
          <w:sz w:val="28"/>
        </w:rPr>
        <w:t>
      Даму жоспарының іске асырылуын мониторингтеу жөніндегі есеп қызметтің стратегиялық бағыттарына, мақсаттарына, міндеттеріне, қызметтің түйінді көрсеткіштеріне қол жеткізу жөніндегі ақпаратты қамтиды.</w:t>
      </w:r>
    </w:p>
    <w:p>
      <w:pPr>
        <w:spacing w:after="0"/>
        <w:ind w:left="0"/>
        <w:jc w:val="both"/>
      </w:pPr>
      <w:r>
        <w:rPr>
          <w:rFonts w:ascii="Times New Roman"/>
          <w:b w:val="false"/>
          <w:i w:val="false"/>
          <w:color w:val="000000"/>
          <w:sz w:val="28"/>
        </w:rPr>
        <w:t xml:space="preserve">
      Даму жоспарының іске асырылуын мониторингтеу жөніндегі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1) тармақшасы мынадай редакцияда жазылсын:</w:t>
      </w:r>
    </w:p>
    <w:bookmarkStart w:name="z77" w:id="23"/>
    <w:p>
      <w:pPr>
        <w:spacing w:after="0"/>
        <w:ind w:left="0"/>
        <w:jc w:val="both"/>
      </w:pPr>
      <w:r>
        <w:rPr>
          <w:rFonts w:ascii="Times New Roman"/>
          <w:b w:val="false"/>
          <w:i w:val="false"/>
          <w:color w:val="000000"/>
          <w:sz w:val="28"/>
        </w:rPr>
        <w:t>
      1) Компанияның даму жоспарының іске асырылу тиімділігін бағалау ҚСБ мен ҚТК-ға қол жеткізу дәрежесін анықтау арқылы жүзеге асырылады.</w:t>
      </w:r>
    </w:p>
    <w:bookmarkEnd w:id="23"/>
    <w:p>
      <w:pPr>
        <w:spacing w:after="0"/>
        <w:ind w:left="0"/>
        <w:jc w:val="both"/>
      </w:pPr>
      <w:r>
        <w:rPr>
          <w:rFonts w:ascii="Times New Roman"/>
          <w:b w:val="false"/>
          <w:i w:val="false"/>
          <w:color w:val="000000"/>
          <w:sz w:val="28"/>
        </w:rPr>
        <w:t xml:space="preserve">
      Компанияның ҚСБ мен ҚТК-ға қол жеткізуін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Әрбір ҚСБ даму жоспарын іске асырудың қорытынды рейтингінде белгілі бір үлес салмаққа ие, олардың жалпы көлемі жиынтығында 100 %-ды құрайды және ҚТК-ның белгілі бір санын қамтиды.</w:t>
      </w:r>
    </w:p>
    <w:p>
      <w:pPr>
        <w:spacing w:after="0"/>
        <w:ind w:left="0"/>
        <w:jc w:val="both"/>
      </w:pPr>
      <w:r>
        <w:rPr>
          <w:rFonts w:ascii="Times New Roman"/>
          <w:b w:val="false"/>
          <w:i w:val="false"/>
          <w:color w:val="000000"/>
          <w:sz w:val="28"/>
        </w:rPr>
        <w:t>
      ҚСБ ішіндегі ҚТК-ға үлес салмақ беріледі, оның жалпы сомасы әрбір ҚСБ-ның 100 %-ын құрайды.</w:t>
      </w:r>
    </w:p>
    <w:p>
      <w:pPr>
        <w:spacing w:after="0"/>
        <w:ind w:left="0"/>
        <w:jc w:val="both"/>
      </w:pPr>
      <w:r>
        <w:rPr>
          <w:rFonts w:ascii="Times New Roman"/>
          <w:b w:val="false"/>
          <w:i w:val="false"/>
          <w:color w:val="000000"/>
          <w:sz w:val="28"/>
        </w:rPr>
        <w:t>
      ҚТК-ға қол жеткізу дәрежесін есептеу қорытындылары бойынша әрбір ҚТК-ға 0-ден 4-ке дейін балл беріледі, бұл ретте:</w:t>
      </w:r>
    </w:p>
    <w:p>
      <w:pPr>
        <w:spacing w:after="0"/>
        <w:ind w:left="0"/>
        <w:jc w:val="both"/>
      </w:pPr>
      <w:r>
        <w:rPr>
          <w:rFonts w:ascii="Times New Roman"/>
          <w:b w:val="false"/>
          <w:i w:val="false"/>
          <w:color w:val="000000"/>
          <w:sz w:val="28"/>
        </w:rPr>
        <w:t>
      4 – жоспардан 85%-дан 100%-ға дейін ҚТК нәтижелеріне қол жеткізу;</w:t>
      </w:r>
    </w:p>
    <w:p>
      <w:pPr>
        <w:spacing w:after="0"/>
        <w:ind w:left="0"/>
        <w:jc w:val="both"/>
      </w:pPr>
      <w:r>
        <w:rPr>
          <w:rFonts w:ascii="Times New Roman"/>
          <w:b w:val="false"/>
          <w:i w:val="false"/>
          <w:color w:val="000000"/>
          <w:sz w:val="28"/>
        </w:rPr>
        <w:t>
      3 – жоспардан 70%-дан 84%-ға дейін ҚТК нәтижелеріне қол жеткізу;</w:t>
      </w:r>
    </w:p>
    <w:p>
      <w:pPr>
        <w:spacing w:after="0"/>
        <w:ind w:left="0"/>
        <w:jc w:val="both"/>
      </w:pPr>
      <w:r>
        <w:rPr>
          <w:rFonts w:ascii="Times New Roman"/>
          <w:b w:val="false"/>
          <w:i w:val="false"/>
          <w:color w:val="000000"/>
          <w:sz w:val="28"/>
        </w:rPr>
        <w:t>
      2 – жоспардан 55%-дан 69%-ға дейін ҚТК нәтижелеріне қол жеткізу;</w:t>
      </w:r>
    </w:p>
    <w:p>
      <w:pPr>
        <w:spacing w:after="0"/>
        <w:ind w:left="0"/>
        <w:jc w:val="both"/>
      </w:pPr>
      <w:r>
        <w:rPr>
          <w:rFonts w:ascii="Times New Roman"/>
          <w:b w:val="false"/>
          <w:i w:val="false"/>
          <w:color w:val="000000"/>
          <w:sz w:val="28"/>
        </w:rPr>
        <w:t>
      1 – жоспардан 40%-дан 54%-ға дейін ҚТК нәтижелеріне қол жеткізу;</w:t>
      </w:r>
    </w:p>
    <w:p>
      <w:pPr>
        <w:spacing w:after="0"/>
        <w:ind w:left="0"/>
        <w:jc w:val="both"/>
      </w:pPr>
      <w:r>
        <w:rPr>
          <w:rFonts w:ascii="Times New Roman"/>
          <w:b w:val="false"/>
          <w:i w:val="false"/>
          <w:color w:val="000000"/>
          <w:sz w:val="28"/>
        </w:rPr>
        <w:t>
      0 – жоспардан 0%-дан 39%-ға дейін ҚТК нәтижелеріне қол жеткізу.</w:t>
      </w:r>
    </w:p>
    <w:p>
      <w:pPr>
        <w:spacing w:after="0"/>
        <w:ind w:left="0"/>
        <w:jc w:val="both"/>
      </w:pPr>
      <w:r>
        <w:rPr>
          <w:rFonts w:ascii="Times New Roman"/>
          <w:b w:val="false"/>
          <w:i w:val="false"/>
          <w:color w:val="000000"/>
          <w:sz w:val="28"/>
        </w:rPr>
        <w:t>
      ҚТК-ға қол жеткізудің бағалауын қорытындылау үшін әрбір ҚТК бойынша балдар жинақталады. Балдардың жиынтық санына және қол жеткізуге болатын ең жоғары нәтижеге сүйене отырып, әрбір ҚСБ-ның іске асырылу дәрежесі есептеледі.</w:t>
      </w:r>
    </w:p>
    <w:p>
      <w:pPr>
        <w:spacing w:after="0"/>
        <w:ind w:left="0"/>
        <w:jc w:val="both"/>
      </w:pPr>
      <w:r>
        <w:rPr>
          <w:rFonts w:ascii="Times New Roman"/>
          <w:b w:val="false"/>
          <w:i w:val="false"/>
          <w:color w:val="000000"/>
          <w:sz w:val="28"/>
        </w:rPr>
        <w:t>
      Әрбір ҚСБ бойынша қол жеткізілген нәтижелерге сәйкес, сондай-ақ компанияның даму жоспарына қол жеткізудегі олардың үлес салмағын ескере отырып, қызметтің түйінді көрсеткіштері бойынша компанияның даму жоспарын іске асырудың қорытылған нәтижесі есептеледі.</w:t>
      </w:r>
    </w:p>
    <w:p>
      <w:pPr>
        <w:spacing w:after="0"/>
        <w:ind w:left="0"/>
        <w:jc w:val="both"/>
      </w:pPr>
      <w:r>
        <w:rPr>
          <w:rFonts w:ascii="Times New Roman"/>
          <w:b w:val="false"/>
          <w:i w:val="false"/>
          <w:color w:val="000000"/>
          <w:sz w:val="28"/>
        </w:rPr>
        <w:t>
      Қызметтің түйінді көрсеткіштері бойынша компанияның даму жоспарын іске асырудың қорытылған нәтижесі мынадай деңгейлерге бөлінеді:</w:t>
      </w:r>
    </w:p>
    <w:p>
      <w:pPr>
        <w:spacing w:after="0"/>
        <w:ind w:left="0"/>
        <w:jc w:val="both"/>
      </w:pPr>
      <w:r>
        <w:rPr>
          <w:rFonts w:ascii="Times New Roman"/>
          <w:b w:val="false"/>
          <w:i w:val="false"/>
          <w:color w:val="000000"/>
          <w:sz w:val="28"/>
        </w:rPr>
        <w:t>
      85%-дан 100%-ға дейін – даму жоспарын іске асырудың жоғары тиімділік деңгейі;</w:t>
      </w:r>
    </w:p>
    <w:p>
      <w:pPr>
        <w:spacing w:after="0"/>
        <w:ind w:left="0"/>
        <w:jc w:val="both"/>
      </w:pPr>
      <w:r>
        <w:rPr>
          <w:rFonts w:ascii="Times New Roman"/>
          <w:b w:val="false"/>
          <w:i w:val="false"/>
          <w:color w:val="000000"/>
          <w:sz w:val="28"/>
        </w:rPr>
        <w:t>
      70%-дан 84%-ға дейін – даму жоспарын іске асырудың орташа тиімділік деңгейі;</w:t>
      </w:r>
    </w:p>
    <w:p>
      <w:pPr>
        <w:spacing w:after="0"/>
        <w:ind w:left="0"/>
        <w:jc w:val="both"/>
      </w:pPr>
      <w:r>
        <w:rPr>
          <w:rFonts w:ascii="Times New Roman"/>
          <w:b w:val="false"/>
          <w:i w:val="false"/>
          <w:color w:val="000000"/>
          <w:sz w:val="28"/>
        </w:rPr>
        <w:t>
      55%-дан 69%-ға дейін – даму жоспарын іске асырудың төмен тиімділік деңгейі;</w:t>
      </w:r>
    </w:p>
    <w:p>
      <w:pPr>
        <w:spacing w:after="0"/>
        <w:ind w:left="0"/>
        <w:jc w:val="both"/>
      </w:pPr>
      <w:r>
        <w:rPr>
          <w:rFonts w:ascii="Times New Roman"/>
          <w:b w:val="false"/>
          <w:i w:val="false"/>
          <w:color w:val="000000"/>
          <w:sz w:val="28"/>
        </w:rPr>
        <w:t>
      40%-дан 54%-ға дейін – даму жоспарын тиімсіз іске асыру;</w:t>
      </w:r>
    </w:p>
    <w:p>
      <w:pPr>
        <w:spacing w:after="0"/>
        <w:ind w:left="0"/>
        <w:jc w:val="both"/>
      </w:pPr>
      <w:r>
        <w:rPr>
          <w:rFonts w:ascii="Times New Roman"/>
          <w:b w:val="false"/>
          <w:i w:val="false"/>
          <w:color w:val="000000"/>
          <w:sz w:val="28"/>
        </w:rPr>
        <w:t>
      0%-дан 39%-ға дейін – даму жоспары іске асырылмаған.";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bookmarkStart w:name="z96" w:id="24"/>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24"/>
    <w:bookmarkStart w:name="z97" w:id="25"/>
    <w:p>
      <w:pPr>
        <w:spacing w:after="0"/>
        <w:ind w:left="0"/>
        <w:jc w:val="both"/>
      </w:pPr>
      <w:r>
        <w:rPr>
          <w:rFonts w:ascii="Times New Roman"/>
          <w:b w:val="false"/>
          <w:i w:val="false"/>
          <w:color w:val="000000"/>
          <w:sz w:val="28"/>
        </w:rPr>
        <w:t xml:space="preserve">
      көрсетілген бұйрықпен бекітілген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99" w:id="26"/>
    <w:p>
      <w:pPr>
        <w:spacing w:after="0"/>
        <w:ind w:left="0"/>
        <w:jc w:val="both"/>
      </w:pPr>
      <w:r>
        <w:rPr>
          <w:rFonts w:ascii="Times New Roman"/>
          <w:b w:val="false"/>
          <w:i w:val="false"/>
          <w:color w:val="000000"/>
          <w:sz w:val="28"/>
        </w:rPr>
        <w:t>
      "2. Осы Қағидаларда пайдаланылатын негізгі ұғымдар:</w:t>
      </w:r>
    </w:p>
    <w:bookmarkEnd w:id="26"/>
    <w:p>
      <w:pPr>
        <w:spacing w:after="0"/>
        <w:ind w:left="0"/>
        <w:jc w:val="both"/>
      </w:pPr>
      <w:r>
        <w:rPr>
          <w:rFonts w:ascii="Times New Roman"/>
          <w:b w:val="false"/>
          <w:i w:val="false"/>
          <w:color w:val="000000"/>
          <w:sz w:val="28"/>
        </w:rPr>
        <w:t>
      1) атқарушы орган – алқалы орган немесе атауы компанияның жарғысында айқындалатын атқарушы органның функцияларын жеке-дара жүзеге асыратын тұлға;</w:t>
      </w:r>
    </w:p>
    <w:p>
      <w:pPr>
        <w:spacing w:after="0"/>
        <w:ind w:left="0"/>
        <w:jc w:val="both"/>
      </w:pPr>
      <w:r>
        <w:rPr>
          <w:rFonts w:ascii="Times New Roman"/>
          <w:b w:val="false"/>
          <w:i w:val="false"/>
          <w:color w:val="000000"/>
          <w:sz w:val="28"/>
        </w:rPr>
        <w:t>
      2) іс-шаралар жоспары – ұлттық басқарушы холдинг, ұлттық холдинг және ұлттық компания қызметінің негізгі бағыттары мен қаржы-шаруашылық қызметінің бесжылдық кезеңге арналған көрсеткіштерін айқындайтын құжат;</w:t>
      </w:r>
    </w:p>
    <w:p>
      <w:pPr>
        <w:spacing w:after="0"/>
        <w:ind w:left="0"/>
        <w:jc w:val="both"/>
      </w:pPr>
      <w:r>
        <w:rPr>
          <w:rFonts w:ascii="Times New Roman"/>
          <w:b w:val="false"/>
          <w:i w:val="false"/>
          <w:color w:val="000000"/>
          <w:sz w:val="28"/>
        </w:rPr>
        <w:t>
      3) компания – Қорды қоспағанда, акционері мемлекет болып табылатын ұлттық басқарушы холдингтер, ұлттық холдингтер, компаниялар;</w:t>
      </w:r>
    </w:p>
    <w:p>
      <w:pPr>
        <w:spacing w:after="0"/>
        <w:ind w:left="0"/>
        <w:jc w:val="both"/>
      </w:pPr>
      <w:r>
        <w:rPr>
          <w:rFonts w:ascii="Times New Roman"/>
          <w:b w:val="false"/>
          <w:i w:val="false"/>
          <w:color w:val="000000"/>
          <w:sz w:val="28"/>
        </w:rPr>
        <w:t>
      4) электрондық есеп – ұлттық куәландырушы орталық берген және мемлекеттік мүлік тізіліміне (бұдан әрі – Тізілім) енгізу үшін дайындалған, компанияның электрондық цифрлық қолтаңбасы қойылатын іс-шаралар жоспарының мәтінін, сондай-ақ қоса берілетін іс-шаралар жоспарының нысандары мен тізбесін және/немесе қосымшаларымен оның іске асырылуын бағалауды және/немесе тиісті саланың уәкілетті органы басшысының электрондық цифрлық қолтаңбасы қойылатын іс-шаралар жоспарының іске асырылуын мониторингтеу нәтижелерін қамтитын есеп.</w:t>
      </w:r>
    </w:p>
    <w:bookmarkStart w:name="z104" w:id="27"/>
    <w:p>
      <w:pPr>
        <w:spacing w:after="0"/>
        <w:ind w:left="0"/>
        <w:jc w:val="both"/>
      </w:pPr>
      <w:r>
        <w:rPr>
          <w:rFonts w:ascii="Times New Roman"/>
          <w:b w:val="false"/>
          <w:i w:val="false"/>
          <w:color w:val="000000"/>
          <w:sz w:val="28"/>
        </w:rPr>
        <w:t>
      3. Компанияның іс-шаралар жоспарының жобасы оның даму жоспарын іске асыру мақсатында бесжылдық кезеңге бір рет әзірленеді және Қазақстан Республикасының стратегиялық және бағдарламалық құжаттарында (аумақтарды дамыту бағдарламаларында), мемлекеттік органдардың даму жоспарларында жазылған мақсаттар мен міндеттерге сәйкестігі тұрғысынан мемлекеттік жоспарлау жөніндегі, тиісті саланың уәкілетті органдарымен және әлеуметтік-экономикалық даму болжамында көрсетілген бюджеттік параметрлерге сәйкестігі тұрғысынан бюджеттік жоспарлау жөніндегі уәкілетті органмен келісіледі және оны директорлар кеңесі бекітеді.</w:t>
      </w:r>
    </w:p>
    <w:bookmarkEnd w:id="27"/>
    <w:p>
      <w:pPr>
        <w:spacing w:after="0"/>
        <w:ind w:left="0"/>
        <w:jc w:val="both"/>
      </w:pPr>
      <w:r>
        <w:rPr>
          <w:rFonts w:ascii="Times New Roman"/>
          <w:b w:val="false"/>
          <w:i w:val="false"/>
          <w:color w:val="000000"/>
          <w:sz w:val="28"/>
        </w:rPr>
        <w:t>
      Іс-шаралар жоспарының жобасын әзірлеу кезінде қызмет тиімділігінің түйінді көрсеткіштерінің даму жоспарындағы қызмет тиімділігінің түйінді көрсеткіштеріне, оның ішінде жылдар мен мәндер бойынша сәйкестігі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7" w:id="28"/>
    <w:p>
      <w:pPr>
        <w:spacing w:after="0"/>
        <w:ind w:left="0"/>
        <w:jc w:val="both"/>
      </w:pPr>
      <w:r>
        <w:rPr>
          <w:rFonts w:ascii="Times New Roman"/>
          <w:b w:val="false"/>
          <w:i w:val="false"/>
          <w:color w:val="000000"/>
          <w:sz w:val="28"/>
        </w:rPr>
        <w:t>
      "5. Жоспарланып отырған тиісті кезеңге арналған іс-шаралар жоспарының жобасын әзірлеуді компанияның атқарушы органы мемлекеттік мүлікті есепке алу саласындағы бірыңғай оператор (бұдан әрі – бірыңғай оператор) әзірлеген Тізілімнің веб-порталында жүзеге асырады. Бұл ретте бірінші жоспарланатын жылдың қаржы-шаруашылық қызметінің негізгі көрсеткіштері толық (таратылып жазылған) түрде, кейінгі жоспарланатын жылдардың қаржы-шаруашылық қызметінің негізгі көрсеткіштері жылдар бойынша бөліністе біріктірілген (жиынтық) түрде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9" w:id="29"/>
    <w:p>
      <w:pPr>
        <w:spacing w:after="0"/>
        <w:ind w:left="0"/>
        <w:jc w:val="both"/>
      </w:pPr>
      <w:r>
        <w:rPr>
          <w:rFonts w:ascii="Times New Roman"/>
          <w:b w:val="false"/>
          <w:i w:val="false"/>
          <w:color w:val="000000"/>
          <w:sz w:val="28"/>
        </w:rPr>
        <w:t>
      "19. Тиісті саланың уәкілетті органы бірыңғай оператор әзірлеген Тізілімнің веб-порталында шоғырландырылған негізде компанияның іс-шаралар жоспарының іске асырылуын мониторингтеу жөніндегі есепті дайындайды.</w:t>
      </w:r>
    </w:p>
    <w:bookmarkEnd w:id="29"/>
    <w:p>
      <w:pPr>
        <w:spacing w:after="0"/>
        <w:ind w:left="0"/>
        <w:jc w:val="both"/>
      </w:pPr>
      <w:r>
        <w:rPr>
          <w:rFonts w:ascii="Times New Roman"/>
          <w:b w:val="false"/>
          <w:i w:val="false"/>
          <w:color w:val="000000"/>
          <w:sz w:val="28"/>
        </w:rPr>
        <w:t>
      Іс-шаралар жоспарының іске асырылуын мониторингтеу жөніндегі есеп компания қызметінің мынадай негізгі көрсеткіштерін орындау жөніндегі ақпаратты қамтиды: іс-шаралар жоспарының түйінді көрсеткіштеріне қол жеткізу, кірістер, шығыстар, қаржылық нәтиже, инвестициялар, борыштық жүктеме, салықтар және бюджетке төленетін басқа да міндетті төлемдер, дивидендтер, жұмыскерлердің орташа тізімдік саны, еңбекақы төлеу қоры, жаңа жұмыс орындарын құру, активтерді қайта құрылымдау, қаржылық орнықтылық.</w:t>
      </w:r>
    </w:p>
    <w:p>
      <w:pPr>
        <w:spacing w:after="0"/>
        <w:ind w:left="0"/>
        <w:jc w:val="both"/>
      </w:pPr>
      <w:r>
        <w:rPr>
          <w:rFonts w:ascii="Times New Roman"/>
          <w:b w:val="false"/>
          <w:i w:val="false"/>
          <w:color w:val="000000"/>
          <w:sz w:val="28"/>
        </w:rPr>
        <w:t xml:space="preserve">
      Іс-шаралар жоспарының іске асырылуын мониторингтеу жөніндегі есеп нысаны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ұсынылған.".</w:t>
      </w:r>
    </w:p>
    <w:bookmarkStart w:name="z112" w:id="30"/>
    <w:p>
      <w:pPr>
        <w:spacing w:after="0"/>
        <w:ind w:left="0"/>
        <w:jc w:val="both"/>
      </w:pPr>
      <w:r>
        <w:rPr>
          <w:rFonts w:ascii="Times New Roman"/>
          <w:b w:val="false"/>
          <w:i w:val="false"/>
          <w:color w:val="000000"/>
          <w:sz w:val="28"/>
        </w:rPr>
        <w:t xml:space="preserve">
      3.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18328 болып тіркелген):</w:t>
      </w:r>
    </w:p>
    <w:bookmarkEnd w:id="30"/>
    <w:bookmarkStart w:name="z113" w:id="31"/>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18) тармақшасы мынадай редакцияда жазылсын:</w:t>
      </w:r>
    </w:p>
    <w:bookmarkStart w:name="z115" w:id="32"/>
    <w:p>
      <w:pPr>
        <w:spacing w:after="0"/>
        <w:ind w:left="0"/>
        <w:jc w:val="both"/>
      </w:pPr>
      <w:r>
        <w:rPr>
          <w:rFonts w:ascii="Times New Roman"/>
          <w:b w:val="false"/>
          <w:i w:val="false"/>
          <w:color w:val="000000"/>
          <w:sz w:val="28"/>
        </w:rPr>
        <w:t>
      "18) тізілімнің веб-порталы – Интернет желісінде www.e-qazyna.kz мекенжайы бойынша орналасқан, тізілім деректеріне бірыңғай қолжетімділік нүктесін ұсынатын интернет-ресурс;";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7" w:id="33"/>
    <w:p>
      <w:pPr>
        <w:spacing w:after="0"/>
        <w:ind w:left="0"/>
        <w:jc w:val="both"/>
      </w:pPr>
      <w:r>
        <w:rPr>
          <w:rFonts w:ascii="Times New Roman"/>
          <w:b w:val="false"/>
          <w:i w:val="false"/>
          <w:color w:val="000000"/>
          <w:sz w:val="28"/>
        </w:rPr>
        <w:t>
      "32. Ағымдағы қаржы жылы ішінде жартыжылдықта екі реттен асырмай даму жоспарын жартыжылдық нақтылауға жол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19" w:id="34"/>
    <w:p>
      <w:pPr>
        <w:spacing w:after="0"/>
        <w:ind w:left="0"/>
        <w:jc w:val="both"/>
      </w:pPr>
      <w:r>
        <w:rPr>
          <w:rFonts w:ascii="Times New Roman"/>
          <w:b w:val="false"/>
          <w:i w:val="false"/>
          <w:color w:val="000000"/>
          <w:sz w:val="28"/>
        </w:rPr>
        <w:t xml:space="preserve">
      "34. Ұйымның атқарушы органы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жағдайларда даму жоспарының әрбір қосымшасына енгізілген нақтылаулардың негіздемелері мен түсіндірмесін қамтитын түсіндірме жазбасы бар нақтыланған даму жоспарының жобасын бекіту органының қарауына енгізеді.</w:t>
      </w:r>
    </w:p>
    <w:bookmarkEnd w:id="34"/>
    <w:p>
      <w:pPr>
        <w:spacing w:after="0"/>
        <w:ind w:left="0"/>
        <w:jc w:val="both"/>
      </w:pPr>
      <w:r>
        <w:rPr>
          <w:rFonts w:ascii="Times New Roman"/>
          <w:b w:val="false"/>
          <w:i w:val="false"/>
          <w:color w:val="000000"/>
          <w:sz w:val="28"/>
        </w:rPr>
        <w:t xml:space="preserve">
      Ұйымның атқарушы органы даму жоспарын жартыжылдық нақтылау жобасымен бір мезгілде бекіту органына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сай нысандарға сәйкес қаржы-шаруашылық қызмет көрсеткіштерінің есептемелерін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қосалқы өндіріс шығыстары есепке алынған негізгі өндірістің шығыстары, қосалқы өндіріс шығыстары,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xml:space="preserve">
      Атқарушы орган даму жоспарында бекітілген жиынтық көрсеткіштер шеңберінде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нысандарда көрсетілген қаржы-шаруашылық қызмет көрсеткіштерінің есептемелеріне түзетулерді дербес енгізеді.</w:t>
      </w:r>
    </w:p>
    <w:p>
      <w:pPr>
        <w:spacing w:after="0"/>
        <w:ind w:left="0"/>
        <w:jc w:val="both"/>
      </w:pPr>
      <w:r>
        <w:rPr>
          <w:rFonts w:ascii="Times New Roman"/>
          <w:b w:val="false"/>
          <w:i w:val="false"/>
          <w:color w:val="000000"/>
          <w:sz w:val="28"/>
        </w:rPr>
        <w:t>
      Қаржы-шаруашылық қызмет көрсеткіштерінің есептемелерін түзету тізілімнің веб-порталында жүзеге асырылады және атқарушы органның шешімі негізінде ұйымның электрондық цифрлық қолтаңбасы қойылады.</w:t>
      </w:r>
    </w:p>
    <w:p>
      <w:pPr>
        <w:spacing w:after="0"/>
        <w:ind w:left="0"/>
        <w:jc w:val="both"/>
      </w:pPr>
      <w:r>
        <w:rPr>
          <w:rFonts w:ascii="Times New Roman"/>
          <w:b w:val="false"/>
          <w:i w:val="false"/>
          <w:color w:val="000000"/>
          <w:sz w:val="28"/>
        </w:rPr>
        <w:t>
      Бекіту органы нақтыланған даму жоспарының жобасын келіп түскен күнінен бастап он жұмыс күні ішінде қарайды.</w:t>
      </w:r>
    </w:p>
    <w:p>
      <w:pPr>
        <w:spacing w:after="0"/>
        <w:ind w:left="0"/>
        <w:jc w:val="both"/>
      </w:pPr>
      <w:r>
        <w:rPr>
          <w:rFonts w:ascii="Times New Roman"/>
          <w:b w:val="false"/>
          <w:i w:val="false"/>
          <w:color w:val="000000"/>
          <w:sz w:val="28"/>
        </w:rPr>
        <w:t>
      Ескертулер болса, ұйымның атқарушы органы ескертулер алған күннен бастап бес жұмыс күні ішінде нақтыланған даму жоспарының жобасын пысықтап, оны бекіту органының қарауына қайта ұсынады.</w:t>
      </w:r>
    </w:p>
    <w:p>
      <w:pPr>
        <w:spacing w:after="0"/>
        <w:ind w:left="0"/>
        <w:jc w:val="both"/>
      </w:pPr>
      <w:r>
        <w:rPr>
          <w:rFonts w:ascii="Times New Roman"/>
          <w:b w:val="false"/>
          <w:i w:val="false"/>
          <w:color w:val="000000"/>
          <w:sz w:val="28"/>
        </w:rPr>
        <w:t xml:space="preserve">
      Атқарушы орган нақтыланған даму жоспарын қарауға енгізген күннен бастап бекіту органы оны жиырма жұмыс күні ішінде, бірақ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ережелерін ескере отырып, ағымдағы жылдың бірінші жартыжылдығында жиырма бесінші маусымнан және ағымдағы жылдың екінші жартыжылдығында жиырма бесінші желтоқсаннан кешіктірмей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 мамырдағы</w:t>
            </w:r>
            <w:r>
              <w:br/>
            </w:r>
            <w:r>
              <w:rPr>
                <w:rFonts w:ascii="Times New Roman"/>
                <w:b w:val="false"/>
                <w:i w:val="false"/>
                <w:color w:val="000000"/>
                <w:sz w:val="20"/>
              </w:rPr>
              <w:t>№ 22</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Акционері мемлекет болып</w:t>
            </w:r>
            <w:r>
              <w:br/>
            </w:r>
            <w:r>
              <w:rPr>
                <w:rFonts w:ascii="Times New Roman"/>
                <w:b w:val="false"/>
                <w:i w:val="false"/>
                <w:color w:val="000000"/>
                <w:sz w:val="20"/>
              </w:rPr>
              <w:t>табылатын ұлттық басқарушы</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 xml:space="preserve">холдингтердің, ұлттық </w:t>
            </w:r>
            <w:r>
              <w:br/>
            </w:r>
            <w:r>
              <w:rPr>
                <w:rFonts w:ascii="Times New Roman"/>
                <w:b w:val="false"/>
                <w:i w:val="false"/>
                <w:color w:val="000000"/>
                <w:sz w:val="20"/>
              </w:rPr>
              <w:t>компаниялардың даму</w:t>
            </w:r>
            <w:r>
              <w:br/>
            </w:r>
            <w:r>
              <w:rPr>
                <w:rFonts w:ascii="Times New Roman"/>
                <w:b w:val="false"/>
                <w:i w:val="false"/>
                <w:color w:val="000000"/>
                <w:sz w:val="20"/>
              </w:rPr>
              <w:t xml:space="preserve">жоспарларының орындалуы </w:t>
            </w:r>
            <w:r>
              <w:br/>
            </w:r>
            <w:r>
              <w:rPr>
                <w:rFonts w:ascii="Times New Roman"/>
                <w:b w:val="false"/>
                <w:i w:val="false"/>
                <w:color w:val="000000"/>
                <w:sz w:val="20"/>
              </w:rPr>
              <w:t xml:space="preserve">жөніндегі есептерді әзірлеу </w:t>
            </w:r>
            <w:r>
              <w:br/>
            </w:r>
            <w:r>
              <w:rPr>
                <w:rFonts w:ascii="Times New Roman"/>
                <w:b w:val="false"/>
                <w:i w:val="false"/>
                <w:color w:val="000000"/>
                <w:sz w:val="20"/>
              </w:rPr>
              <w:t>және ұсыну қағидаларына</w:t>
            </w:r>
            <w:r>
              <w:br/>
            </w:r>
            <w:r>
              <w:rPr>
                <w:rFonts w:ascii="Times New Roman"/>
                <w:b w:val="false"/>
                <w:i w:val="false"/>
                <w:color w:val="000000"/>
                <w:sz w:val="20"/>
              </w:rPr>
              <w:t>1-1-қосымша</w:t>
            </w:r>
          </w:p>
        </w:tc>
      </w:tr>
    </w:tbl>
    <w:bookmarkStart w:name="z128" w:id="35"/>
    <w:p>
      <w:pPr>
        <w:spacing w:after="0"/>
        <w:ind w:left="0"/>
        <w:jc w:val="left"/>
      </w:pPr>
      <w:r>
        <w:rPr>
          <w:rFonts w:ascii="Times New Roman"/>
          <w:b/>
          <w:i w:val="false"/>
          <w:color w:val="000000"/>
        </w:rPr>
        <w:t xml:space="preserve"> Қызметтің стратегиялық бағыттары, мақсаттары, қызметтің түйінді көрсеткіштері және олар бойынша күтілетін нәтижелер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түйінді көрсеткіштері (ТК) (сандық немесе сапалық)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(факт)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(жоспар/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мақсат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міндет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36"/>
    <w:p>
      <w:pPr>
        <w:spacing w:after="0"/>
        <w:ind w:left="0"/>
        <w:jc w:val="both"/>
      </w:pPr>
      <w:r>
        <w:rPr>
          <w:rFonts w:ascii="Times New Roman"/>
          <w:b w:val="false"/>
          <w:i w:val="false"/>
          <w:color w:val="000000"/>
          <w:sz w:val="28"/>
        </w:rPr>
        <w:t>
      кестеннің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жоспары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1-бағыт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