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441d" w14:textId="5554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"Орташа жалақыны есептеудің бірыңғай қағидаларын бекіту туралы" Қазақстан Республикасы Денсаулық сақтау және әлеуметтік даму министрінің 2015 жылғы 30 қарашадағы № 908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19 наурыздағы № 78 бұйрығы. Қазақстан Республикасының Әділет министрлігінде 2024 жылғы 28 наурызда № 34176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"Орташа жалақыны есептеудің бірыңғай қағидаларын бекіту туралы" Қазақстан Республикасы Денсаулық сақтау және әлеуметтік даму министрінің 2015 жылғы 30 қарашадағы № 908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12533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Орташа жалақыны есептеудің бірыңғай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Жұмыс уақытының жиынтық есебі кезінде еңбекке уақытша жарамсыздық парағы төлемінен басқа қызметкердің орташа жалақысы орташа сағаттық жалақыны орташа күндік жұмыс сағаттарының санына және оқиғаның күнтізбелік күндер санына көбейту жолымен есептеледі.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Орташа күндік жұмыс сағаттарының саны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ОртКЖС = ОртАЖС / ОртАКК,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ОртКЖС – орташа күндік жұмыс сағаттарының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ОртАЖС – оқиғаның басына қолданыста болатын күнтізбелік жылдың жұмыс уақытының теңгеріміне сәйкес бес күндік немесе алты күндік жұмыс аптасындағы орташа айлық жұмыс сағаттарының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ОртАКК – оқиғаның басына қолданыста болатын күнтізбелік жылдың жұмыс уақытының теңгеріміне сәйкес мереке күндерін есептегемегенде күнтізбелік күндердің орташа айлық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уақытының жиынтық есебі кезінде жұмыс берушінің актісінде егер қызметкерлердің жағдайын нашарлатпайтын болса, орташа жалақыны есептеудің өзге тәртібі көзделуі мүмкін.".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күнтізбелік күн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