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728e" w14:textId="8d37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 наурыздағы № 199 бұйрығы. Қазақстан Республикасының Әділет министрлігінде 2024 жылғы 6 наурызда № 34119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(Нормативтiк құқықтық актiлерді мемлекеттiк тіркеу тізілімінде № 21281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шетелдік азаматтарды қоспағанда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реттік нөмірі 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Заңның 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w:t>
            </w:r>
            <w:r>
              <w:rPr>
                <w:rFonts w:ascii="Times New Roman"/>
                <w:b w:val="false"/>
                <w:i w:val="false"/>
                <w:color w:val="000000"/>
                <w:sz w:val="20"/>
              </w:rPr>
              <w:t xml:space="preserve"> қоспағанда, көрсетілген пайдаланушыларға сататыны туралы кепіл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қарулар, оның негізгі (құрама) бөліктері Заңның 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w:t>
            </w:r>
            <w:r>
              <w:rPr>
                <w:rFonts w:ascii="Times New Roman"/>
                <w:b w:val="false"/>
                <w:i w:val="false"/>
                <w:color w:val="000000"/>
                <w:sz w:val="20"/>
              </w:rPr>
              <w:t xml:space="preserve"> қоспағанда, көрсетілген пайдаланушыларға сататыны туралы кепіл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реттік нөмірі 4-жол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алады шетелдік азаматтарды қоспағанда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сақтауға, сақтау мен алып жүруге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реттік нөмірі 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тасымалдауға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реттік нөмірі 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реттік нөмірі 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bl>
    <w:p>
      <w:pPr>
        <w:spacing w:after="0"/>
        <w:ind w:left="0"/>
        <w:jc w:val="both"/>
      </w:pP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7"/>
    <w:bookmarkStart w:name="z17"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8"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Start w:name="z20"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2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