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f6aa" w14:textId="4ebf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2023 жылғы 28 сәуірдегі № 169/НҚ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ақпандағы № 95/НҚ бұйрығы. Қазақстан Республикасының Әділет министрлігінде 2024 жылғы 1 наурызда № 34091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2023 жылғы 28 сәуірдегі № 169/НҚ </w:t>
      </w:r>
      <w:r>
        <w:rPr>
          <w:rFonts w:ascii="Times New Roman"/>
          <w:b w:val="false"/>
          <w:i w:val="false"/>
          <w:color w:val="000000"/>
          <w:sz w:val="28"/>
        </w:rPr>
        <w:t>тізілімінде</w:t>
      </w:r>
      <w:r>
        <w:rPr>
          <w:rFonts w:ascii="Times New Roman"/>
          <w:b w:val="false"/>
          <w:i w:val="false"/>
          <w:color w:val="000000"/>
          <w:sz w:val="28"/>
        </w:rPr>
        <w:t xml:space="preserve"> (Нормативтік құқықтық актілерді мемлекеттік тіркеу тізілімінде № 32431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Цифрлық майнинг бойынша қызметті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"Цифрлық майнинг бойынша қызметті жүзеге асыруға лицензия беру" Мемлекеттік қызмет көрсету Қағидалары (бұдан әрі – Қағидалар) "Қазақстан Республикасындағы цифрлық активтер туралы" Қазақстан Республикасы Заңының (бұдан әрі – Заң)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цифрлық майнинг бойынша қызметті лицензиялау (бұдан әрі – мемлекеттік көрсетілетін қызмет)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"8. Көрсетілетін қызметті алушы құжаттардың және (немесе) мәліметтердің толық топтамасын ұсынған кезде көрсетілетін қызметті берушінің қызметкері 13 (он үш) жұмыс күні ішінде көрсетілетін қызметті алушы ұсынған құжаттардың Рұқсаттар және хабарламалар туралы заңның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Цифрлық даму, инновациялар және аэроғарыш өнеркәсібі министрінің міндетін атқарушының 2023 жылғы 26 сәуірдегі № 165/НҚ бұйрығымен бекітілген Цифрлық майнинг жөніндегі қызметті жүзеге асыру үшін біліктілік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32416 болып тіркелген) сәйкестігін тексереді.";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"11. Цифрлық майнинг қызметін жүзеге асыру жөніндегі лицензияны қайта ресімдеу Рұқсаттар және хабарламалар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негіздер бойынша және тәртіппен жүргізіледі.";</w:t>
      </w:r>
    </w:p>
    <w:bookmarkEnd w:id="5"/>
    <w:bookmarkStart w:name="z9" w:id="6"/>
    <w:p>
      <w:pPr>
        <w:spacing w:after="0"/>
        <w:ind w:left="0"/>
        <w:jc w:val="both"/>
      </w:pPr>
      <w:r>
        <w:rPr>
          <w:rFonts w:ascii="Times New Roman"/>
          <w:b w:val="false"/>
          <w:i w:val="false"/>
          <w:color w:val="000000"/>
          <w:sz w:val="28"/>
        </w:rPr>
        <w:t>
      мынадай мазмұндағы 18-1-тармақпен толықтырылсын:</w:t>
      </w:r>
    </w:p>
    <w:bookmarkEnd w:id="6"/>
    <w:bookmarkStart w:name="z10" w:id="7"/>
    <w:p>
      <w:pPr>
        <w:spacing w:after="0"/>
        <w:ind w:left="0"/>
        <w:jc w:val="both"/>
      </w:pPr>
      <w:r>
        <w:rPr>
          <w:rFonts w:ascii="Times New Roman"/>
          <w:b w:val="false"/>
          <w:i w:val="false"/>
          <w:color w:val="000000"/>
          <w:sz w:val="28"/>
        </w:rPr>
        <w:t xml:space="preserve">
      "18-1. Цифрлық майнинг бойынша қызметті жүзеге асыруға лицензияның және (немесе) лицензияға қосымшаның қолданысын тоқтата тұру, қалпына келтіру, одан айыру Заңның 9-бабында және Рұқсаттар және хабарламалар туралы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негіздер бойынша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"21.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8"/>
    <w:bookmarkStart w:name="z13" w:id="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18" w:id="14"/>
    <w:p>
      <w:pPr>
        <w:spacing w:after="0"/>
        <w:ind w:left="0"/>
        <w:jc w:val="both"/>
      </w:pPr>
      <w:r>
        <w:rPr>
          <w:rFonts w:ascii="Times New Roman"/>
          <w:b w:val="false"/>
          <w:i w:val="false"/>
          <w:color w:val="000000"/>
          <w:sz w:val="28"/>
        </w:rPr>
        <w:t xml:space="preserve">
      4. Осы бұйрық 2024 жылғы 13 ақпаннан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тоғызыншы және оныншы абзацтарын қоспағанда,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