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7b01" w14:textId="8857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20 ақпандағы № 90 бұйрығы. Қазақстан Республикасының Әділет министрлігінде 2024 жылғы 22 ақпанда № 34033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мүлікті қоспағанда, тізілімге енгізілетін мүлік оны сатуға дейін веб-портал арқылы мемлекеттік заңды тұлғаларға олардың теңгеріміне беру үшін ұсынылуға жатады.</w:t>
      </w:r>
    </w:p>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мынадай құжаттардың:</w:t>
      </w:r>
    </w:p>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p>
      <w:pPr>
        <w:spacing w:after="0"/>
        <w:ind w:left="0"/>
        <w:jc w:val="both"/>
      </w:pPr>
      <w:r>
        <w:rPr>
          <w:rFonts w:ascii="Times New Roman"/>
          <w:b w:val="false"/>
          <w:i w:val="false"/>
          <w:color w:val="000000"/>
          <w:sz w:val="28"/>
        </w:rPr>
        <w:t>
      Үлес меншігіндегі мүлікті сатушы сауда-саттыққа шығару алдында нарықтық құны бойынша үлес меншігінің қалған қатысушыларына ұсынады.</w:t>
      </w:r>
    </w:p>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10 (он) жұмыс күні ішінде өзге мүлікті сатып алу-сату шартына қол қоймаған кезде мүліктің осы үлесі сауда-саттыққа шығарылады.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 12, 15, 18 және 19-позицияларында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мемлекеттің қауіпсіздігін қамтамасыз ету, құқықтық тәртіптің заңдылығын қолдау, қылмыстық құқық бұзушылықтардың алдын алу және жолын кесу мақсатында құқық қорғау және арнаулы мемлекеттік органдарға қолданылмайды.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12-позициясында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етуді жүзеге асыратын мемлекеттік органға қолданылмайды.".</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Президентiнiң Iс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xml:space="preserve">
      жемқорлыққа қарсы қызмет)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Республикасыңың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