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c150e" w14:textId="26c1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29 қаңтардағы № 7 қаулысы. Қазақстан Республикасының Әділет министрлігінде 2024 жылғы 1 ақпанда № 33963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Микрокредит беру туралы шартты жасасу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3"/>
    <w:p>
      <w:pPr>
        <w:spacing w:after="0"/>
        <w:ind w:left="0"/>
        <w:jc w:val="both"/>
      </w:pPr>
      <w:r>
        <w:rPr>
          <w:rFonts w:ascii="Times New Roman"/>
          <w:b w:val="false"/>
          <w:i w:val="false"/>
          <w:color w:val="000000"/>
          <w:sz w:val="28"/>
        </w:rPr>
        <w:t xml:space="preserve">
      "3. Жеке тұлғамен микрокредит беру туралы шарт жасасқанға дейін микроқаржылық қызметті жүзеге асыратын ұйым жеке тұлғаны микрокредит алу үшін жүгіну тәсіліне қарамастан жылдық пайызбен сыйақы мөлшерлемесінің мөлшері немесе сыйақы мәні (Заңның 4-бабының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шарт жасалған жағдайда), жылдық тиімді сыйақы мөлшерлемесінің мөлшері (микрокредиттің нақты құны), сондай-ақ микрокредит бойынша артық төлем сомасы туралы хабардар етеді, сондай-ақ қарыз алушының осы шарт бойынша кредиттік досьесіне қоса берілетін, микроқаржы ұйымы жүзеге асырған іс-шаралар тізбесін міндетті түрде белгілей отырып, Заңның 7-бабы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іс-шараларды жүзеге асырады.";</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
    <w:bookmarkStart w:name="z14" w:id="6"/>
    <w:p>
      <w:pPr>
        <w:spacing w:after="0"/>
        <w:ind w:left="0"/>
        <w:jc w:val="both"/>
      </w:pPr>
      <w:r>
        <w:rPr>
          <w:rFonts w:ascii="Times New Roman"/>
          <w:b w:val="false"/>
          <w:i w:val="false"/>
          <w:color w:val="000000"/>
          <w:sz w:val="28"/>
        </w:rPr>
        <w:t>
      "3) атқару жазбасының негізінде берешекті өндіріп алу.".</w:t>
      </w:r>
    </w:p>
    <w:bookmarkEnd w:id="6"/>
    <w:bookmarkStart w:name="z7" w:id="7"/>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7"/>
    <w:bookmarkStart w:name="z8"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9" w:id="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9"/>
    <w:bookmarkStart w:name="z10" w:id="10"/>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0"/>
    <w:bookmarkStart w:name="z11" w:id="11"/>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алпыс күн өткен соң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екінші, үшінші және төртінші абзацтарын қоспағанда,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