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44db" w14:textId="1a84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құқық субъектісі "Ғарыштық техника және технологиялар институты" жауапкершілігі шектеулі серіктестігі жүзеге асыратын қызметтермен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10 қаңтардағы № 11/НҚ бұйрығы. Қазақстан Республикасының Әділет министрлігінде 2024 жылғы 15 қаңтарда № 33907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құқық субъектісі "Ғарыштық техника және технологиялар институты" жауапкершілігі шектеулі серіктестігі жүзеге асыратын қызметтермен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2024 жылғы 10</w:t>
            </w:r>
            <w:r>
              <w:br/>
            </w:r>
            <w:r>
              <w:rPr>
                <w:rFonts w:ascii="Times New Roman"/>
                <w:b w:val="false"/>
                <w:i w:val="false"/>
                <w:color w:val="000000"/>
                <w:sz w:val="20"/>
              </w:rPr>
              <w:t>қаңтардағы № 11/НҚ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Арнайы құқық субъектісі "Ғарыштық техника және технологиялар институты" жауапкершілігі шектеулі серіктестігі жүзеге асыратын қызметтерге технологиялық тұрғыдан байланысты қызмет түрлерінің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Цифрлық даму, инновациялар және аэроғарыш өнеркәсібі министрінің 08.07.2025 </w:t>
      </w:r>
      <w:r>
        <w:rPr>
          <w:rFonts w:ascii="Times New Roman"/>
          <w:b w:val="false"/>
          <w:i w:val="false"/>
          <w:color w:val="ff0000"/>
          <w:sz w:val="28"/>
        </w:rPr>
        <w:t>№ 350/НҚ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Навигациялық құрылғылар мен ғарыштық технологиялар, сымсыз байланыс, ақпараттық-коммуникациялық технологиялар саласындағы, оның ішінде қорғаныс және ұлттық қауіпсіздік мүдделері үшін ғылыми зерттеулер мен эксперименттік әзірлемелер;</w:t>
      </w:r>
    </w:p>
    <w:bookmarkEnd w:id="9"/>
    <w:p>
      <w:pPr>
        <w:spacing w:after="0"/>
        <w:ind w:left="0"/>
        <w:jc w:val="both"/>
      </w:pPr>
      <w:r>
        <w:rPr>
          <w:rFonts w:ascii="Times New Roman"/>
          <w:b w:val="false"/>
          <w:i w:val="false"/>
          <w:color w:val="000000"/>
          <w:sz w:val="28"/>
        </w:rPr>
        <w:t>
      2) Навигациялық пломбалар өндірісі.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