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1e68" w14:textId="7621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2014 жылғы 19 желтоқсандағы № 23-4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2 маусымдағы № 4-3 шешімі. Батыс Қазақстан облысының Әділет департаментінде 2023 жылғы 13 маусымда № 7215-07 болып тіркелді. Күші жойылды - Батыс Қазақстан облысы Бөрлі аудандық мәслихатының 2023 жылғы 22 желтоқсандағы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22.12.2023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2014 жылғы 19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№3728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2023 жылғы 2 маусымдағы</w:t>
            </w:r>
            <w:r>
              <w:br/>
            </w:r>
            <w:r>
              <w:rPr>
                <w:rFonts w:ascii="Times New Roman"/>
                <w:b w:val="false"/>
                <w:i w:val="false"/>
                <w:color w:val="000000"/>
                <w:sz w:val="20"/>
              </w:rPr>
              <w:t>№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2014 жылғы 19 желтоқсандағы</w:t>
            </w:r>
            <w:r>
              <w:br/>
            </w:r>
            <w:r>
              <w:rPr>
                <w:rFonts w:ascii="Times New Roman"/>
                <w:b w:val="false"/>
                <w:i w:val="false"/>
                <w:color w:val="000000"/>
                <w:sz w:val="20"/>
              </w:rPr>
              <w:t>№23 - 4 шешіміне қосымша</w:t>
            </w:r>
          </w:p>
        </w:tc>
      </w:tr>
    </w:tbl>
    <w:bookmarkStart w:name="z14" w:id="7"/>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7"/>
    <w:bookmarkStart w:name="z15" w:id="8"/>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 - оқытуға жұмсалған шығындарды өтеу) мүгедектігі бар баланың үйде оқү фактісін растайтын оқу орнының аңықтамасы негізінде "Бөрлі аудандық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xml:space="preserve">
      5. Оқытуға жұмсаған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жұмсаған шығындарды өтеу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