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af6" w14:textId="82fb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5 маусымдағы № 121 қаулысы. Шығыс Қазақстан облысының Әділет департаментінде 2023 жылғы 13 маусымда № 8865-16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пестицидтердің, биоагенттердің (энтомофагтардың) тізбесі мен субсидиялар нормалары;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пестицидтерді, биоагенттерді (энтомофагтарды) субсидиялауға арналған бюджет қаражатының көлемі – 1374905000 (бір миллиард үш жүз жетпіс төрт миллион тоғыз жүз бес мың)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28.11.2023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сайтында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121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биоагенттердiң (энтомофагтардың) тізбесі мен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28.11.2023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биоагенттің (энтомофагтың)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диметиламин, калий және натрий тұздары түріндегі 500 грамм/литр МЦПА қышқылы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калийлі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ЦЕНЗОР МАКС, эмульсияның майлы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ББЗ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суда ыдырайтын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