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f47d" w14:textId="b31f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ауданы Ұшқын ауылдық округі әкімінің 2023 жылғы 6 ақпандағы № 6 шешiмi. Түркістан облысының Әдiлет департаментiнде 2023 жылғы 7 ақпанда № 6237-13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тиiстi аумақ халқының пiкiрiн ескере отырып және Түркістан облысы әкімдігінің жанындағы облыстық ономастика комиссиясының 2022 жылғы 18 қазандағы қорытындысы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Келес ауданы Ұшқын ауылдық округінің Достық ауылындағы атауы жоқ көшелеріне келесі атаулар берілсін: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атауы жоқ көшеге – Түркістан көшесі;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атауы жоқ көшеге – Ыбырай Алтынсарин көшесі;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№ 3 атауы жоқ көшеге – Жәңгірхан көшесі;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атауы жоқ көшеге – Ахмет Байтұрсынұлы көшесі;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5 атауы жоқ көшеге – Ұлы Дала көшесі;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6 атауы жоқ көшеге – Мұстафа Шоқай көшесі.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