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ccf1" w14:textId="a4dc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Жетісай ауданындағы бірқатар елді мекендерді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імдігінің 2023 жылғы 25 желтоқсандағы № 296 бірлескен қаулысы және Түркістан облысы мәслихатының 2023 жылғы 13 желтоқсандағы № 7/93-VIII шешімі. Түркістан облысының Әдiлет департаментiнде 2023 жылғы 26 желтоқсанда № 6435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Түркістан облысы Жетісай ауданының әкімдігі мен мәслихатының бірлескен ұсынысы негізінде, Түркістан облысының әкімдігі ҚАУЛЫ ЕТЕДІ және Түркістан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 Жетісай ауданы Атамекен ауылдық округіне қарасты Жібекші, Қақпақсай, Пірәлі елді мекендері және Қарақай ауылдық округіне қарасты Батырхан, Жорабек, Орысқұдық, Серікбай елді мекендері тар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Түркістан облысы әкімдігінің қаулысының және Түркістан облыстық мәслихаты шешімінің орындалуын бақылау Түркістан облы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і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