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d591" w14:textId="863d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2019 жылғы 13 қыркүйектегі № 303-VI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аудандық мәслихатының 2023 жылғы 8 қыркүйектегі № 42-VIII шешімі. Атырау облысының Әділет департаментінде 2023 жылғы 15 қыркүйекте № 5079-06 болып тіркелді</w:t>
      </w:r>
    </w:p>
    <w:p>
      <w:pPr>
        <w:spacing w:after="0"/>
        <w:ind w:left="0"/>
        <w:jc w:val="both"/>
      </w:pPr>
      <w:bookmarkStart w:name="z4" w:id="0"/>
      <w:r>
        <w:rPr>
          <w:rFonts w:ascii="Times New Roman"/>
          <w:b w:val="false"/>
          <w:i w:val="false"/>
          <w:color w:val="000000"/>
          <w:sz w:val="28"/>
        </w:rPr>
        <w:t>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Мақат аудандық мәслихатының 2019 жылғы 13 қыркүйектегі № 303-VI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4494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қосымшасындағы:</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"2. Әлеуметтік қолдауды тағайындау уәкілетті орган – "Мақат аудандық жұмыспен қамту және әлеуметтік бағдарламалар бөлімі" мемлекеттік мекемесімен жүзеге асырылады.";</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 нкейін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