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210" w14:textId="fda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нормаларын, сондай-ақ пестицидтерді, биоагенттерді (этномофагтарды) субсидиялауға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 тамыздағы № 147 қаулысы. Атырау облысының Әділет департаментінде 2023 жылғы 3 тамызда № 5070-06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пестицидтерді, биоагенттерді (этномофагтарды) субсидиялауға бюджет қаражатының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биоагенттің (энтомофагтың)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диметиламин, калий және натрий тұздары түріндегі 500 грамм/литр МЦПА қышқылы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ЦЕНЗОР МАКС, эмульсияның майлы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cулы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ББЗ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сулы-суупензиялық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пестицидтерді, биоагенттерді (этномофагтарға) субсидиялауға бюджет қаражатының көлемі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