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2ea3" w14:textId="13f2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48/13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17 сәуірдегі № 2/4 шешімі. Солтүстік Қазақстан облысының Әділет департаментінде 2023 жылғы 18 сәуірде № 7478-15 болып тіркелді</w:t>
      </w:r>
    </w:p>
    <w:p>
      <w:pPr>
        <w:spacing w:after="0"/>
        <w:ind w:left="0"/>
        <w:jc w:val="both"/>
      </w:pPr>
      <w:bookmarkStart w:name="z4" w:id="0"/>
      <w:r>
        <w:rPr>
          <w:rFonts w:ascii="Times New Roman"/>
          <w:b w:val="false"/>
          <w:i w:val="false"/>
          <w:color w:val="000000"/>
          <w:sz w:val="28"/>
        </w:rPr>
        <w:t>
      ШЕШTI:</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48/13 шешіміне 1 қосымша</w:t>
            </w:r>
          </w:p>
        </w:tc>
      </w:tr>
    </w:tbl>
    <w:bookmarkStart w:name="z18"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тегін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Урсодезоксихол қышқылы,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Меропенем</w:t>
            </w:r>
          </w:p>
          <w:p>
            <w:pPr>
              <w:spacing w:after="20"/>
              <w:ind w:left="20"/>
              <w:jc w:val="both"/>
            </w:pPr>
            <w:r>
              <w:rPr>
                <w:rFonts w:ascii="Times New Roman"/>
                <w:b w:val="false"/>
                <w:i w:val="false"/>
                <w:color w:val="000000"/>
                <w:sz w:val="20"/>
              </w:rPr>
              <w:t>
Цефтазидим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Тобрамицин</w:t>
            </w:r>
          </w:p>
          <w:bookmarkEnd w:id="7"/>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гемолитико-уремиялық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(ламеллярлық) ихтиозы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Дексапантенол</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Мометазона</w:t>
            </w:r>
          </w:p>
          <w:p>
            <w:pPr>
              <w:spacing w:after="20"/>
              <w:ind w:left="20"/>
              <w:jc w:val="both"/>
            </w:pPr>
            <w:r>
              <w:rPr>
                <w:rFonts w:ascii="Times New Roman"/>
                <w:b w:val="false"/>
                <w:i w:val="false"/>
                <w:color w:val="000000"/>
                <w:sz w:val="20"/>
              </w:rPr>
              <w:t>
Бетаметазон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неврон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