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972f" w14:textId="1bf9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2022 жылғы 8 сәуірдегі № 18/110 "Мұнайлы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2023 жылғы 18 мамырдағы № 3/21 шешімі. Маңғыстау облысы Әділет департаментінде 2023 жылғы 26 мамырда № 4566-12 болып тіркелді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2022 жылғы 8 сәуірдегі </w:t>
      </w:r>
      <w:r>
        <w:rPr>
          <w:rFonts w:ascii="Times New Roman"/>
          <w:b w:val="false"/>
          <w:i w:val="false"/>
          <w:color w:val="000000"/>
          <w:sz w:val="28"/>
        </w:rPr>
        <w:t>№18/110</w:t>
      </w:r>
      <w:r>
        <w:rPr>
          <w:rFonts w:ascii="Times New Roman"/>
          <w:b w:val="false"/>
          <w:i w:val="false"/>
          <w:color w:val="000000"/>
          <w:sz w:val="28"/>
        </w:rPr>
        <w:t xml:space="preserve">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(Нормативтік құқықтық актілерді мемлекеттік тіркеу Тізілімінде №27640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18/110 шешіміне қосымша</w:t>
            </w:r>
          </w:p>
        </w:tc>
      </w:tr>
    </w:tbl>
    <w:bookmarkStart w:name="z11" w:id="4"/>
    <w:p>
      <w:pPr>
        <w:spacing w:after="0"/>
        <w:ind w:left="0"/>
        <w:jc w:val="left"/>
      </w:pPr>
      <w:r>
        <w:rPr>
          <w:rFonts w:ascii="Times New Roman"/>
          <w:b/>
          <w:i w:val="false"/>
          <w:color w:val="000000"/>
        </w:rPr>
        <w:t xml:space="preserve">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2" w:id="5"/>
    <w:p>
      <w:pPr>
        <w:spacing w:after="0"/>
        <w:ind w:left="0"/>
        <w:jc w:val="both"/>
      </w:pPr>
      <w:r>
        <w:rPr>
          <w:rFonts w:ascii="Times New Roman"/>
          <w:b w:val="false"/>
          <w:i w:val="false"/>
          <w:color w:val="000000"/>
          <w:sz w:val="28"/>
        </w:rPr>
        <w:t xml:space="preserve">
      1. Осы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№22394 болып тіркелген) (бұдан әрі - Қағидалар) сәйкес әзірленді.</w:t>
      </w:r>
    </w:p>
    <w:bookmarkEnd w:id="5"/>
    <w:bookmarkStart w:name="z13"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"Мұнайлы аудандық жұмыспен қамту және әлеуметтік бағдарламалар бөлімі" мемлекеттік мекемесімен жүргізіледі.</w:t>
      </w:r>
    </w:p>
    <w:bookmarkEnd w:id="6"/>
    <w:bookmarkStart w:name="z14"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5"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6" w:id="9"/>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7" w:id="10"/>
    <w:p>
      <w:pPr>
        <w:spacing w:after="0"/>
        <w:ind w:left="0"/>
        <w:jc w:val="both"/>
      </w:pPr>
      <w:r>
        <w:rPr>
          <w:rFonts w:ascii="Times New Roman"/>
          <w:b w:val="false"/>
          <w:i w:val="false"/>
          <w:color w:val="000000"/>
          <w:sz w:val="28"/>
        </w:rPr>
        <w:t xml:space="preserve">
      6. Үйде оқытуға жұмсаған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порталға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10"/>
    <w:bookmarkStart w:name="z18"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9" w:id="12"/>
    <w:p>
      <w:pPr>
        <w:spacing w:after="0"/>
        <w:ind w:left="0"/>
        <w:jc w:val="both"/>
      </w:pPr>
      <w:r>
        <w:rPr>
          <w:rFonts w:ascii="Times New Roman"/>
          <w:b w:val="false"/>
          <w:i w:val="false"/>
          <w:color w:val="000000"/>
          <w:sz w:val="28"/>
        </w:rPr>
        <w:t>
      7. Оқытуға жұмсаған шығындарды өндіріп алу мөлшері ай сайын әрбір мүгедектігі бар балаға 5 (бес) айлық есептік көрсеткішке тең.</w:t>
      </w:r>
    </w:p>
    <w:bookmarkEnd w:id="12"/>
    <w:bookmarkStart w:name="z20" w:id="13"/>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