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0727" w14:textId="c820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"Инватакси қызметін алушылардың санатын кеңейту туралы" Балқаш қаласы әкімдігінің 2022 жылғы 23 мамырдағы № 23/01 қаулысына өзгерістер мен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2023 жылғы 30 наурыздағы № 15/07 қаулысы. Қарағанды облысының Әділет департаментінде 2023 жылғы 6 сәуірде № 6374-09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қаласының әкімдігінің 2022 жылғы 23 мамырдағы №23/01 "Инватакси қызметін алушылардың санатын кеңейту туралы" (Нормативтік құқықтық актілерді мемлекеттік тіркеу тізілімінде №28263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мүгедектігі бар адамдарды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"Автомобиль көлігімен мүгедектігі бар адамдарды тасымалдау жөнінде қызметтер көрсету қағидаларын бекіту туралы" Қазақстан Республикасы Көлік және коммуникация министрі міндетін атқарушысының 2013 жылғы 1 қарашадағы №859 бұйрығымен бекітілген (Нормативтік құқықтық актілерді мемлекеттік тіркеу тізілімінде №8950 болып тіркелген),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мүгедектігі бар балалар;";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бірінші,екінші топтағы мүгедектігі бар адамдар;";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аутистік спектрінің бұзылуы бар балалар.".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жетекшілік ететін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