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5c60" w14:textId="1645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2023 жылғы 12 желтоқсандағы № 90/03 қаулысы. Қарағанды облысының Әділет департаментінде 2023 жылғы 19 желтоқсанда № 6533-09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6364-09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Ауыл шаруашылығы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90/03</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1-қосымша</w:t>
            </w:r>
          </w:p>
        </w:tc>
      </w:tr>
    </w:tbl>
    <w:bookmarkStart w:name="z14" w:id="7"/>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2 524 506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 20 бастан 500 басқа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