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ed6" w14:textId="3540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2023 жылғы 29 қыркүйектегі № 340 қаулысы. Жетісу облысы Әділет департаментінде 2023 жылы 2 қазанда № 64-19 болып тіркелді. Күші жойылды - Жетісу облысы Сарқан ауданы әкімдігінің 2025 жылғы 6 қарашадағы № 380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Жетісу облысы Сарқан ауданы әкімдігінің 06.11.2025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Разбеков М.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"_" ___________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 № 340 қаулысына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қызметкер;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жұмыс жөніндегі консультант;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 клубының меңгерушісі;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көркемдік жетекші.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