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b6a7" w14:textId="0a6b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Луговой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Луговой ауылдық округі әкімінің 2023 жылғы 31 мамырдағы № 16 шешімі. Жамбыл облысы Әділет департаментінде 2023 жылғы 2 маусымда № 5034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2022 жылғы 28 желтоқсандағы қорытындысы негізінде және Луговой ауылы тұрғындарының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Луговой ауылдық округінің Луговой ауылының төмендегі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Арай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Луговская көшесін Ақсарай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Гостиница көшесін Байқоңыр көшесіне қайта аталсын.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Луговой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