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ac1f" w14:textId="1bca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шетелдіктер немесе шетелдіктің тұруына ақы төлейтін жеке немесе заңды тұлғалар (шақырушы тарап, туроператор) үшін туристік жарнаның мөлшерлемелерiн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 мәслихатының 2023 жылғы 17 қарашадағы № 13/77-VIII шешімі. Абай облысының Әділет департаментінде 2023 жылғы 21 қарашада № 156-18 болып тіркелді. Күші жойылды - Абай облысы Семей қаласы мәслихатының 2024 жылғы 20 қарашадағы № 34/177-VIII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20.11.2024 </w:t>
      </w:r>
      <w:r>
        <w:rPr>
          <w:rFonts w:ascii="Times New Roman"/>
          <w:b w:val="false"/>
          <w:i w:val="false"/>
          <w:color w:val="ff0000"/>
          <w:sz w:val="28"/>
        </w:rPr>
        <w:t>№ 34/177-VIII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2-10 – тармағына</w:t>
      </w:r>
      <w:r>
        <w:rPr>
          <w:rFonts w:ascii="Times New Roman"/>
          <w:b w:val="false"/>
          <w:i w:val="false"/>
          <w:color w:val="000000"/>
          <w:sz w:val="28"/>
        </w:rPr>
        <w:t xml:space="preserve">, Қазақстан Республикасы мәдениет және спорт Министрінің 2023 жылғы 14 шілдедегі № 181 "Шетелдіктер үшін туристік жарнаны төлеу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1. Семей қаласы бойынша шетелдіктер немесе шетелдіктің тұруына ақы төлейтін жеке немесе заңды тұлғалар (шақырушы тарап, туроператор) үшін қаладағы хостелдерді, қонақжайларды, жалға берілетін тұрғын үйлерді қоспағанда, туристерді орналастыру орындарында болатын әр тәулік үшін алынатын туристік жарнаның белгіленген мөлшерлемесі - 0,2 айлық есептік көрсеткіш мөлшерінде бекітілсін.</w:t>
      </w:r>
    </w:p>
    <w:bookmarkEnd w:id="1"/>
    <w:p>
      <w:pPr>
        <w:spacing w:after="0"/>
        <w:ind w:left="0"/>
        <w:jc w:val="both"/>
      </w:pPr>
      <w:r>
        <w:rPr>
          <w:rFonts w:ascii="Times New Roman"/>
          <w:b w:val="false"/>
          <w:i w:val="false"/>
          <w:color w:val="000000"/>
          <w:sz w:val="28"/>
        </w:rPr>
        <w:t>
      Орналастыру орындарында шетелдік туристер саны өткен жылдың ұқсас кезеңімен салыстырғанда ұлғайған жағдайда туристік жарнаның мынадай мөлшерлемелері қолданылады:</w:t>
      </w:r>
    </w:p>
    <w:p>
      <w:pPr>
        <w:spacing w:after="0"/>
        <w:ind w:left="0"/>
        <w:jc w:val="both"/>
      </w:pPr>
      <w:r>
        <w:rPr>
          <w:rFonts w:ascii="Times New Roman"/>
          <w:b w:val="false"/>
          <w:i w:val="false"/>
          <w:color w:val="000000"/>
          <w:sz w:val="28"/>
        </w:rPr>
        <w:t>
      бес пайызға дейін – 0,2 АЕК мөлшерінде;</w:t>
      </w:r>
    </w:p>
    <w:p>
      <w:pPr>
        <w:spacing w:after="0"/>
        <w:ind w:left="0"/>
        <w:jc w:val="both"/>
      </w:pPr>
      <w:r>
        <w:rPr>
          <w:rFonts w:ascii="Times New Roman"/>
          <w:b w:val="false"/>
          <w:i w:val="false"/>
          <w:color w:val="000000"/>
          <w:sz w:val="28"/>
        </w:rPr>
        <w:t>
      бестен он пайызға дейін – 0,3 АЕК мөлшерінде;</w:t>
      </w:r>
    </w:p>
    <w:p>
      <w:pPr>
        <w:spacing w:after="0"/>
        <w:ind w:left="0"/>
        <w:jc w:val="both"/>
      </w:pPr>
      <w:r>
        <w:rPr>
          <w:rFonts w:ascii="Times New Roman"/>
          <w:b w:val="false"/>
          <w:i w:val="false"/>
          <w:color w:val="000000"/>
          <w:sz w:val="28"/>
        </w:rPr>
        <w:t>
      оннан он бес пайызға дейін – 0,4 АЕК мөлшерінде;</w:t>
      </w:r>
    </w:p>
    <w:p>
      <w:pPr>
        <w:spacing w:after="0"/>
        <w:ind w:left="0"/>
        <w:jc w:val="both"/>
      </w:pPr>
      <w:r>
        <w:rPr>
          <w:rFonts w:ascii="Times New Roman"/>
          <w:b w:val="false"/>
          <w:i w:val="false"/>
          <w:color w:val="000000"/>
          <w:sz w:val="28"/>
        </w:rPr>
        <w:t xml:space="preserve">
      он бес пайыздан және одан жоғары – 0,5 АЕК мөлшерінде. </w:t>
      </w:r>
    </w:p>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Семей қаласы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