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43480" w14:textId="78434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бойынша меншікке немесе жер пайдалануға берілетін аталған жерлерді пайдаланудың жергілікті жағдайлары мен ерекшеліктеріне қарай ауыл шаруашылығы мақсатындағы жер учаскелерінің ең аз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әкімдігінің 2023 жылғы 21 сәуірдегі № 82 бірлескен қаулысы және Абай облысы мәслихатының 2023 жылғы 20 сәуірдегі № 2/13-VIII шешімі. Абай облысының Әділет департаментінде 2023 жылғы 27 сәуірде № 55-18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кодексiнiң 50-бабының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 және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Абай облысының әкімдігі ҚАУЛЫ ЕТЕДІ және Абай облысы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бойынша меншікке немесе жер пайдалануға берілетін аталған жерлерді пайдаланудың жергілікті жағдайлары мен ерекшеліктеріне қарай ауыл шаруашылығы мақсатындағы жер учаскелерінің ең аз мөлшері осы бірлескен қаулы және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белгiленсiн.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және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Абай облысы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Абай облысы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"Абай облысы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сәуірдегі № 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Абай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сәуірдегі № 2/13-VIII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қаулысы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қосымшасы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облысы бойынша меншікке немесе жер пайдалануға берілетін аталған жерлерді пайдаланудың жергілікті жағдайлары мен ерекшеліктеріне қарай ауыл шаруашылығы мақсатындағы жер учаскелерінің ең аз мөлшері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Абай облысы әкімдігінің 25.06.2025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бірлескен қаулысы және Абай облысы мәслихатының 25.06.2025 </w:t>
      </w:r>
      <w:r>
        <w:rPr>
          <w:rFonts w:ascii="Times New Roman"/>
          <w:b w:val="false"/>
          <w:i w:val="false"/>
          <w:color w:val="ff0000"/>
          <w:sz w:val="28"/>
        </w:rPr>
        <w:t>№ 28/190-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кеиін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немесе жер пайдалануға берілетін аталған жерлерді пайдаланудың жергілікті жағдайлары мен ерекшеліктеріне қарай ауыл шаруашылығы мақсатындағы жер учаскелерінің ең аз мөлшері (гектар)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фермерлік немесе шаруа қожалығын жүргізу үшін Қазақстан Республикасының азаматтарына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өндiрiсiн жүргiзу үшiн мемлекеттiк емес заңды тұлғаларға және олардың үлестес тұлғаларына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 суармалы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 суармалы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Жаңасемей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Мақаншы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