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d04" w14:textId="cbb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Ақсу ауылдық округінің Үлкен Ақсу, Кіші Ақсу және Долайты ауылдарының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Үлкен Ақсу ауылдық округі әкімінің 2023 жылғы 12 сәуірдегі № 4-25 шешімі. Алматы облысы Әділет департаментінде 2023 жылы 12 сәуірде № 5977-05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Ақсу ауылдық округінің Үлкен Ақсу, Кіші Ақсу және Долайты ауылдары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 Ақсу ауылдық округінің Үлкен Ақсу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"Жүсіп Баласағұн"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"Ахмет Иүгінеки"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"Буғра хан"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"Томирис"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"Махмұд Қашқари" көшесі.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Үлкен Ақсу ауылдық округінің Кіші Ақсу ауылының атауы жоқ көшесіне келесі атау берілсін: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"Өрнек" көшесі.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Үлкен Ақсу ауылдық округінің Долайты ауылының атауы жоқ көшесіне келесі атау берілсін: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"Достық" көшесі.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Үлкен Ақсу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