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cb96" w14:textId="61ec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16 қарашадағы № 77 шешімі. Ақтөбе облысының Әділет департаментінде 2023 жылғы 21 қарашада № 8446 болып тіркелді. Күші жойылды - Ақтөбе облысы Алға аудандық мәслихатының 2024 жылғы 28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28.03.2024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Алға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26 қыркүйектегі № 116 "Алға ауданында тұрғын үй көмегін көрсету мөлшерін және тәртібін айқындау туралы" (Нормативтік құқықтық актілерді мемлекеттік тіркеу тізілімінде № 5676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айқындалған Алға ауданында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10) тармақшасы жаңа редакцияда жазылсын:</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