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7bece" w14:textId="e27be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аудандық мәслихатының 2014 жылғы 16 қыркүйектегі № 5С-35-2 "Мүгедектігі бар балаларды жеке оқыту жоспары бойынша үйде оқытуға жұмсаған шығындарын өндіріп алу тәртібі және мөлшерін айқындау туралы" шешіміне өзгерістер енгізу туралы</w:t>
      </w:r>
    </w:p>
    <w:p>
      <w:pPr>
        <w:spacing w:after="0"/>
        <w:ind w:left="0"/>
        <w:jc w:val="both"/>
      </w:pPr>
      <w:r>
        <w:rPr>
          <w:rFonts w:ascii="Times New Roman"/>
          <w:b w:val="false"/>
          <w:i w:val="false"/>
          <w:color w:val="000000"/>
          <w:sz w:val="28"/>
        </w:rPr>
        <w:t>Ақмола облысы Астрахан аудандық мәслихатының 2023 жылғы 19 мамырдағы № 8С-5-2 шешімі. Ақмола облысының Әділет департаментінде 2023 жылғы 26 мамырда № 8573-03 болып тіркелді</w:t>
      </w:r>
    </w:p>
    <w:p>
      <w:pPr>
        <w:spacing w:after="0"/>
        <w:ind w:left="0"/>
        <w:jc w:val="both"/>
      </w:pPr>
      <w:bookmarkStart w:name="z1" w:id="0"/>
      <w:r>
        <w:rPr>
          <w:rFonts w:ascii="Times New Roman"/>
          <w:b w:val="false"/>
          <w:i w:val="false"/>
          <w:color w:val="000000"/>
          <w:sz w:val="28"/>
        </w:rPr>
        <w:t>
      Астрахан аудандық мәслихаты ШЕШТІ:</w:t>
      </w:r>
    </w:p>
    <w:bookmarkEnd w:id="0"/>
    <w:bookmarkStart w:name="z2" w:id="1"/>
    <w:p>
      <w:pPr>
        <w:spacing w:after="0"/>
        <w:ind w:left="0"/>
        <w:jc w:val="both"/>
      </w:pPr>
      <w:r>
        <w:rPr>
          <w:rFonts w:ascii="Times New Roman"/>
          <w:b w:val="false"/>
          <w:i w:val="false"/>
          <w:color w:val="000000"/>
          <w:sz w:val="28"/>
        </w:rPr>
        <w:t xml:space="preserve">
      1. Астрахан аудандық мәслихатының "Мүгедектігі бар балаларды жеке оқыту жоспары бойынша үйде оқытуға жұмсаған шығындарын өндіріп алу тәртібі және мөлшерін айқындау туралы" 2014 жылғы 16 қыркүйектегі № 5С-35-2 (Нормативтік құқықтық актілерді мемлекеттік тіркеу тізілімінде № 4392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Осы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қағидаларына (әрі қарай – Шығындарды өтеу қағидалары)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"6. Оқытуға жұмсаған шығындарын өндіріп алу үшін өтініш беруші уәкілетті органға "Азаматтарға арналған үкімет" мемлекеттік корпорациясы" коммерциялық емес акционерлік қоғамы немесе "электрондық үкімет" веб-порталы (бұдан әрі –портал) арқылы Шығындарды өтеу қағидаларының 3 - қосымшасына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1 немесе 2 - қосымшасына сәйкес нысан бойынша өтінішпен жүгінеді.</w:t>
      </w:r>
    </w:p>
    <w:p>
      <w:pPr>
        <w:spacing w:after="0"/>
        <w:ind w:left="0"/>
        <w:jc w:val="both"/>
      </w:pPr>
      <w:r>
        <w:rPr>
          <w:rFonts w:ascii="Times New Roman"/>
          <w:b w:val="false"/>
          <w:i w:val="false"/>
          <w:color w:val="000000"/>
          <w:sz w:val="28"/>
        </w:rPr>
        <w:t>
      Өтініш беруші оқытуға жұмсаған шығындарын өндіріп алу бойынша төлемді тағайындау үшін портал арқылы жүгінген кезде ұсынылған мәліметтерді растау және Шығындарды өтеу қағидаларының 2 - 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Астрахан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