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e248" w14:textId="f05e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Атбасар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2023 жылғы 16 қаңтардағы № а-1/12 және Ақмола облысы Атбасар аудандық мәслихатының 2023 жылғы 16 қаңтардағы № 7С 27/6 бірлескен қаулысы мен шешімі. Ақмола облысының Әділет департаментінде 2023 жылғы 26 қаңтарда № 3-0-8511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Атбасар қаласы халқының пікірін ескере отырып және 2022 жылғы 23 маусымдағы Ақмола облыстық ономастика комиссиясының қорытындысы негізінде, Атбасар ауданының әкімдігі ҚАУЛЫ ЕТЕДІ және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ауданы Атбасар қаласының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Островский көшесін Қайрат Рысқұлбеков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Матросов көшесін Қажымұқан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көшесін Мұстафа Шоқай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Ирченко көшесін Әлімхан Ермеков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көшесін Міржақып Дулатұлы көшесіне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