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1b5b" w14:textId="a6a1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95 қаулысы. Қазақстан Республикасының Әділет министрлігінде 2023 жылғы 26 желтоқсанда № 33804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өзгерістер мен толықтыру енгізілетін қаржы нарығын реттеу мәселелері жөніндегі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95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23" w:id="10"/>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bookmarkEnd w:id="10"/>
    <w:bookmarkStart w:name="z24" w:id="1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"9.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ұлғаяды.</w:t>
      </w:r>
    </w:p>
    <w:bookmarkEnd w:id="12"/>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3"/>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болады;</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беруімен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бес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1 (бір)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растайтын құжаттарды қоса бере отырып, пруденциялық реттеу мақсаттары үшін рейтингтік агенттіктің рейтингтік бағаларын қабылдау туралы сұрау салуды уәкілетті органға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өлшемдерге сәйкес келген кезде уәкілетті орган ресми интернет-ресурсында рейтингтік агенттіктің сұрау салуын алған күннен бастап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4"/>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30 (отыз)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15 (он бес) пайызынан аспайды;</w:t>
      </w:r>
    </w:p>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тұлғалардағы бағалы қағаздарға ("кері репо" операцияларын есептегенде), салымдар мен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2023 жылғы 1 қаңтардан бастап – жалпы сақтандыру резервтері сомасының 20 (жиырма) пайызынан аспайды;</w:t>
      </w:r>
    </w:p>
    <w:p>
      <w:pPr>
        <w:spacing w:after="0"/>
        <w:ind w:left="0"/>
        <w:jc w:val="both"/>
      </w:pPr>
      <w:r>
        <w:rPr>
          <w:rFonts w:ascii="Times New Roman"/>
          <w:b w:val="false"/>
          <w:i w:val="false"/>
          <w:color w:val="000000"/>
          <w:sz w:val="28"/>
        </w:rPr>
        <w:t>
      2024 жылғы 1 қаңтардан бастап – жалпы сақтандыру резервтері сомасының 10 (он) пайызынан аспайды;</w:t>
      </w:r>
    </w:p>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тізбесін бекіту туралы" Қазақстан Республикасы Үкіметінің 2011 жылғы 06 сәуірдегі № 376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Standard &amp; Poor'S (стандарт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және осы заңды тұлғаның үлестес тұлғаларының осыған ұқсас деңгейдегі рейтингі бар ұлттық компаниялар тізбесіне кіретін бір заңды тұлғадағы бағалы қағаздарға ("кері репо" операцияларын ескере отырып) және ақшаға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6) тазартылған бағалы металдар мен металл шоттарға жиынтық орналастыру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қызметін "өмірді сақтандыру" саласында жүзеге асыратын сақтандыру (қайта сақтандыру) ұйымының сақтанушыларға берілген қарыздарының жиынтық мөлшері жалпы сақтандыру резервтері сомасының 10 (он) пайызынан көп емес соманы құрайды;</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9) шет мемлекеттің орталық үкіметі шығарған, мемлекеттік мәртебесі бар, Standard &amp; Poor's (Стандард энд Пурс) рейтингтік агенттігінің халықаралық шкаласы бойынша "A-"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10)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жалпы сақтандыру резервтері сомасының 20 (жиырма) пайызынан аспайтын соманы құрайды;</w:t>
      </w:r>
    </w:p>
    <w:p>
      <w:pPr>
        <w:spacing w:after="0"/>
        <w:ind w:left="0"/>
        <w:jc w:val="both"/>
      </w:pPr>
      <w:r>
        <w:rPr>
          <w:rFonts w:ascii="Times New Roman"/>
          <w:b w:val="false"/>
          <w:i w:val="false"/>
          <w:color w:val="000000"/>
          <w:sz w:val="28"/>
        </w:rPr>
        <w:t>
      11)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12) құнсыздануға арналған резервті шегергенде, ашық және интервалды инвестициялық пай қорларының пайларына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13)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14)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жалпы сақтандыру резервтері сомасының 10 (он) пайызынан аспайды;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қағаздарға инвестициялары Қазақстан Республикасының екінші деңгейдегі банкінің бір эмиссиясы облигацияларының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bookmarkStart w:name="z31" w:id="15"/>
    <w:p>
      <w:pPr>
        <w:spacing w:after="0"/>
        <w:ind w:left="0"/>
        <w:jc w:val="both"/>
      </w:pPr>
      <w:r>
        <w:rPr>
          <w:rFonts w:ascii="Times New Roman"/>
          <w:b w:val="false"/>
          <w:i w:val="false"/>
          <w:color w:val="000000"/>
          <w:sz w:val="28"/>
        </w:rPr>
        <w:t xml:space="preserve">
      3.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мынадай өзгеріс енгізілсін:</w:t>
      </w:r>
    </w:p>
    <w:bookmarkEnd w:id="15"/>
    <w:bookmarkStart w:name="z32" w:id="16"/>
    <w:p>
      <w:pPr>
        <w:spacing w:after="0"/>
        <w:ind w:left="0"/>
        <w:jc w:val="both"/>
      </w:pPr>
      <w:r>
        <w:rPr>
          <w:rFonts w:ascii="Times New Roman"/>
          <w:b w:val="false"/>
          <w:i w:val="false"/>
          <w:color w:val="000000"/>
          <w:sz w:val="28"/>
        </w:rPr>
        <w:t xml:space="preserve">
      көрсетілген қаулымен бекітілген Банк конгломератының пруденциялық нормативтерінде және сақталуы міндетті өзге де нормалары мен лимиттерінің нормативтік мәндері мен оларды есептеу әдістемесінде,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мынандай редакцияда жазылсын:</w:t>
      </w:r>
    </w:p>
    <w:bookmarkStart w:name="z34" w:id="17"/>
    <w:p>
      <w:pPr>
        <w:spacing w:after="0"/>
        <w:ind w:left="0"/>
        <w:jc w:val="both"/>
      </w:pPr>
      <w:r>
        <w:rPr>
          <w:rFonts w:ascii="Times New Roman"/>
          <w:b w:val="false"/>
          <w:i w:val="false"/>
          <w:color w:val="000000"/>
          <w:sz w:val="28"/>
        </w:rPr>
        <w:t>
      "5. Жаңадан құрылатын банк конгломераты үшін жарғылық капиталының ең аз мөлшері кемінде 100 (бір жүз) миллион теңгені құрайды.".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