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5e0c" w14:textId="ea05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"Атқарушы агенттіктердің мемлекеттік ұйымдардың қызметшілерін оқыту түрінде ұсынылған байланысты емес гранттарды пайдалану жөніндегі ақпаратты табыс ету нысанын бекіту туралы" Қазақстан Республикасы Экономика және бюджеттік жоспарлау министрінің міндетін атқарушының 2005 жылғы 16 қыркүйектегі № 114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 желтоқсандағы № 181 бұйрығы. Қазақстан Республикасының Әділет министрлігінде 2023 жылғы 8 желтоқсанда № 33742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"Атқарушы агенттіктердің мемлекеттік ұйымдардың қызметшілерін оқыту түрінде ұсынылған байланысты емес гранттарды пайдалану жөніндегі ақпаратты табыс ету нысанын бекіту туралы" Қазақстан Республикасы Экономика және бюджеттік жоспарлау министрінің міндетін атқарушының 2005 жылғы 16 қыркүйектегі № 114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3887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Халықаралық экономикалық ынтымақтастық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