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7a4a" w14:textId="bb27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Ұлттық экономика министрінің 2023 жылғы 29 мамырдағы № 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29 қарашадағы № 180 бұйрығы. Қазақстан Республикасының Әділет министрлігінде 2023 жылғы 6 желтоқсанда № 33726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Ұлттық экономика министрінің 2023 жылғы 29 мамырдағы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32634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 (бұдан әрі – Қағидалар) Қазақстан Республикасы Бюджет кодексінің 22-бабы 2-тармағының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әзірленді және Қазақстан Республикасы Үкіметінің "Жекешелендірудің 2016 – 2020 жылдарға арналған кейбір мәселелері туралы" 2015 жылғы 30 желтоқсандағы </w:t>
      </w:r>
      <w:r>
        <w:rPr>
          <w:rFonts w:ascii="Times New Roman"/>
          <w:b w:val="false"/>
          <w:i w:val="false"/>
          <w:color w:val="000000"/>
          <w:sz w:val="28"/>
        </w:rPr>
        <w:t>№ 1141</w:t>
      </w:r>
      <w:r>
        <w:rPr>
          <w:rFonts w:ascii="Times New Roman"/>
          <w:b w:val="false"/>
          <w:i w:val="false"/>
          <w:color w:val="000000"/>
          <w:sz w:val="28"/>
        </w:rPr>
        <w:t xml:space="preserve"> және "Жекешелендірудің 2021 – 2025 жылдарға арналған кейбір мәселелері туралы" 2020 жылғы 29 желтоқсандағы </w:t>
      </w:r>
      <w:r>
        <w:rPr>
          <w:rFonts w:ascii="Times New Roman"/>
          <w:b w:val="false"/>
          <w:i w:val="false"/>
          <w:color w:val="000000"/>
          <w:sz w:val="28"/>
        </w:rPr>
        <w:t>№ 908</w:t>
      </w:r>
      <w:r>
        <w:rPr>
          <w:rFonts w:ascii="Times New Roman"/>
          <w:b w:val="false"/>
          <w:i w:val="false"/>
          <w:color w:val="000000"/>
          <w:sz w:val="28"/>
        </w:rPr>
        <w:t xml:space="preserve"> қаулыларында айқындалған тізбелер (бұдан әрі – тізбелер) бойынша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(бұдан әрі – компаниялардың активтері) бәсекелес ортаға беруден Қазақстан Республикасының Ұлттық қорына (бұдан әрі – Ұлттық қор) түсетін түсімдердің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"4. Қор тобының активтерін бәсекелес ортаға беруден түскен қаражат мыналарды:</w:t>
      </w:r>
    </w:p>
    <w:bookmarkEnd w:id="4"/>
    <w:bookmarkStart w:name="z11" w:id="5"/>
    <w:p>
      <w:pPr>
        <w:spacing w:after="0"/>
        <w:ind w:left="0"/>
        <w:jc w:val="both"/>
      </w:pPr>
      <w:r>
        <w:rPr>
          <w:rFonts w:ascii="Times New Roman"/>
          <w:b w:val="false"/>
          <w:i w:val="false"/>
          <w:color w:val="000000"/>
          <w:sz w:val="28"/>
        </w:rPr>
        <w:t xml:space="preserve">
      1) Қор тобы борыштық міндеттемелерді өтеуге (Ұлттық қор алдындағы міндеттемелерді өтеуді есепке алмағанда) және (немесе) "Ұлттық әл-ауқат қоры туралы" Қазақстан Республикасы Заңының (бұдан әрі – Заң) 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міндеттерді іске асыруға жіберетін, Қорға келіп түскен қаражаттың 50 %-нан (елу пайызынан) аспайтын қаражатты;</w:t>
      </w:r>
    </w:p>
    <w:bookmarkEnd w:id="5"/>
    <w:bookmarkStart w:name="z12" w:id="6"/>
    <w:p>
      <w:pPr>
        <w:spacing w:after="0"/>
        <w:ind w:left="0"/>
        <w:jc w:val="both"/>
      </w:pPr>
      <w:r>
        <w:rPr>
          <w:rFonts w:ascii="Times New Roman"/>
          <w:b w:val="false"/>
          <w:i w:val="false"/>
          <w:color w:val="000000"/>
          <w:sz w:val="28"/>
        </w:rPr>
        <w:t>
      2) Қор республикалық меншіктегі акциялардың мемлекеттік пакетіне дивидендтер төлеуге жіберетін қаражатты қоспағанда, 100 % (бір жүз пайыз) мөлшерде таза кірісті бөлу түрінде Ұлттық қорға аударылады.</w:t>
      </w:r>
    </w:p>
    <w:bookmarkEnd w:id="6"/>
    <w:bookmarkStart w:name="z13" w:id="7"/>
    <w:p>
      <w:pPr>
        <w:spacing w:after="0"/>
        <w:ind w:left="0"/>
        <w:jc w:val="both"/>
      </w:pPr>
      <w:r>
        <w:rPr>
          <w:rFonts w:ascii="Times New Roman"/>
          <w:b w:val="false"/>
          <w:i w:val="false"/>
          <w:color w:val="000000"/>
          <w:sz w:val="28"/>
        </w:rPr>
        <w:t xml:space="preserve">
      Республикалық меншіктегі акциялардың мемлекеттік пакетіне дивидендтер төлеу, борыштық міндеттемелерді өтеу және (немесе) Заңның 4-бабы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міндеттерді іске асыру үшін жіберілетін, активтерді бәсекелес ортаға беруден түскен қаражаттың мөлшері мен нысаналы пайдаланылуы Қазақстан Республикасының экономикасын жаңғырту мәселелері жөніндегі мемлекеттік комиссияның шешіміне сәйкес айқындалады.</w:t>
      </w:r>
    </w:p>
    <w:bookmarkEnd w:id="7"/>
    <w:bookmarkStart w:name="z14" w:id="8"/>
    <w:p>
      <w:pPr>
        <w:spacing w:after="0"/>
        <w:ind w:left="0"/>
        <w:jc w:val="both"/>
      </w:pPr>
      <w:r>
        <w:rPr>
          <w:rFonts w:ascii="Times New Roman"/>
          <w:b w:val="false"/>
          <w:i w:val="false"/>
          <w:color w:val="000000"/>
          <w:sz w:val="28"/>
        </w:rPr>
        <w:t>
      "Қазақстан инжиниринг" (Kazakhstan Еngineering) ұлттық компаниясы" акционерлік қоғамының активтерін бәсекелес ортаға беруден түсетін қаражат есебінен Ұлттық қорға аударылатын қаражат мөлшері Қазақстан Республикасының экономикасын жаңғырту мәселелері жөніндегі мемлекеттік комиссияның шешіміне сәйкес ішкі борышты өтеу үшін қажетті сомаға түзетіледі.".</w:t>
      </w:r>
    </w:p>
    <w:bookmarkEnd w:id="8"/>
    <w:bookmarkStart w:name="z15" w:id="9"/>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0"/>
    <w:bookmarkStart w:name="z17"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Республикасының</w:t>
      </w:r>
    </w:p>
    <w:bookmarkEnd w:id="13"/>
    <w:bookmarkStart w:name="z21" w:id="14"/>
    <w:p>
      <w:pPr>
        <w:spacing w:after="0"/>
        <w:ind w:left="0"/>
        <w:jc w:val="both"/>
      </w:pPr>
      <w:r>
        <w:rPr>
          <w:rFonts w:ascii="Times New Roman"/>
          <w:b w:val="false"/>
          <w:i w:val="false"/>
          <w:color w:val="000000"/>
          <w:sz w:val="28"/>
        </w:rPr>
        <w:t>
      Қаржы министрлігі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