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cd2" w14:textId="fde2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мерекелер тізбесін бекіту туралы" Қазақстан Республикасы Премьер-Министрінің орынбасары – Еңбек және халықты әлеуметтік қорғау министрінің 2023 жылғы 29 маусымдағы № 258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2023 жылғы 17 қарашадағы № 480 бұйрығы. Қазақстан Республикасының Әділет министрлігінде 2023 жылғы 17 қарашада № 33649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мерекелер тізбесін бекіту туралы" Қазақстан Республикасы Премьер-Министрінің орынбасары – Еңбек және халықты әлеуметтік қорғау министрінің 2023 жылғы 29 маусымдағы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мерекелер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бірінші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ңбек және халықты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мерекелердің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ұланы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қаңтар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авиация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басылым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орналастыру, геодезия және картография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наурыздың екінші 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сәуірдің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күзет қызметі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мамырдың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орган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арнайы мақсаттағы бөлімшелері әскери қызметшісінің және қызметкерінің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және сот қызметкері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қызметкері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қызмет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органдарының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төртінші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Шекарашылар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кешені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саласы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өнеркәсібі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кәсіптік одақтарының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қызметкері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жүйесі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қазанның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ұйымдарының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барлау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Цифрландыру және ақпараттық технологиялар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саласы қызметкерлерінің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қарашаның үшінші 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тамақ және өңдеу өнеркәсібі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қарашаның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Адвокатура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желтоқсанның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фельдъегерлік қызметі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Архивші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