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0664" w14:textId="62c0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міндетін атқарушының 2021 жылғы 1 маусымдағы № 178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қыркүйектегі № 334 бұйрығы. Қазақстан Республикасының Әділет министрлігінде 2023 жылғы 22 қыркүйекте № 33451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міндетін атқарушының 2021 жылғы 1 маусымдағы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22952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"Астық қолхаттарын шығару арқылы қойма қызметі бойынша қызметтер көрсетуге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 w:id="1"/>
    <w:p>
      <w:pPr>
        <w:spacing w:after="0"/>
        <w:ind w:left="0"/>
        <w:jc w:val="both"/>
      </w:pPr>
      <w:r>
        <w:rPr>
          <w:rFonts w:ascii="Times New Roman"/>
          <w:b w:val="false"/>
          <w:i w:val="false"/>
          <w:color w:val="000000"/>
          <w:sz w:val="28"/>
        </w:rPr>
        <w:t>
      5. Мемлекеттік көрсетілетін қызметті алу үшін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
    <w:p>
      <w:pPr>
        <w:spacing w:after="0"/>
        <w:ind w:left="0"/>
        <w:jc w:val="both"/>
      </w:pPr>
      <w:r>
        <w:rPr>
          <w:rFonts w:ascii="Times New Roman"/>
          <w:b w:val="false"/>
          <w:i w:val="false"/>
          <w:color w:val="000000"/>
          <w:sz w:val="28"/>
        </w:rPr>
        <w:t xml:space="preserve">
      Заңды тұлғаны мемлекеттік тіркеу (қайта тіркеу) туралы, жылжымайтын мүлікке (астық сақтау орны, элеватор, астық қабылдау пункті) тіркелген құқықтар (ауыртпалықтар)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7" w:id="2"/>
    <w:p>
      <w:pPr>
        <w:spacing w:after="0"/>
        <w:ind w:left="0"/>
        <w:jc w:val="both"/>
      </w:pPr>
      <w:r>
        <w:rPr>
          <w:rFonts w:ascii="Times New Roman"/>
          <w:b w:val="false"/>
          <w:i w:val="false"/>
          <w:color w:val="000000"/>
          <w:sz w:val="28"/>
        </w:rPr>
        <w:t>
      6. Көрсетілетін қызметті беруші кеңсесінің жұмыскері Тізбенің 8-тармағында көрсетілген құжаттар келіп түскен күні оларды тіркеуді жүзеге асырады және ол жауапты қызметкерді тағайындайтын көрсетілетін қызметті берушінің басшысына жібереді.</w:t>
      </w:r>
    </w:p>
    <w:bookmarkEnd w:id="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берушінің жұмыскері құжаттарды тіркеген сәттен бастап 5 (бес) жұмыс күні ішінде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 тізбесіне (бұдан әрі – біліктілік талаптары) сәйкестігіне рұқсаттық бақылауын жүргізеді, оның нәтижелері бойынша көрсетілетін қызметті алушының біліктілік талаптарына сәйкестігі немесе сәйкес еместігі туралы қорытынды дайындалады.</w:t>
      </w:r>
    </w:p>
    <w:bookmarkEnd w:id="3"/>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қорытындыға көрсетілетін қызметті берушінің жұмыскері және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туралы қорытындының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рәсімдейді.</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алушыға алдын ала шешім бойынша позициясын білдіру мүмкіндігі үшін лицензияны және (немесе) лицензияға қосымшаны беруден бас тарту туралы алдын ала шешім туралы, сондай-ақ тыңдалым өткізудің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мерзімінің аяқталуына кемінде 3 (үш) жұмыс күні қалғанда жіберіледі. Тыңдалым хабарлама жіберілген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көрсетілген қызметті берушінің уәкілетті тұлғасының ЭЦҚ-сымен куәландырылған электрондық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жауапты жұмыскері құжаттарды берген сәттен бастап 2 (екі) жұмыс күні ішінде ұсынылған құжаттардың толықтығын және (немесе) тиісінше ресімделуін тексереді.</w:t>
      </w:r>
    </w:p>
    <w:bookmarkEnd w:id="4"/>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кезде,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кезде,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лицензияға қосымшаны қайта ресімдейді.";</w:t>
      </w:r>
    </w:p>
    <w:bookmarkStart w:name="z12" w:id="5"/>
    <w:p>
      <w:pPr>
        <w:spacing w:after="0"/>
        <w:ind w:left="0"/>
        <w:jc w:val="both"/>
      </w:pPr>
      <w:r>
        <w:rPr>
          <w:rFonts w:ascii="Times New Roman"/>
          <w:b w:val="false"/>
          <w:i w:val="false"/>
          <w:color w:val="000000"/>
          <w:sz w:val="28"/>
        </w:rPr>
        <w:t>
      мынадай мазмұндағы 13-1-тармақпен толықтырылсын:</w:t>
      </w:r>
    </w:p>
    <w:bookmarkEnd w:id="5"/>
    <w:bookmarkStart w:name="z13" w:id="6"/>
    <w:p>
      <w:pPr>
        <w:spacing w:after="0"/>
        <w:ind w:left="0"/>
        <w:jc w:val="both"/>
      </w:pPr>
      <w:r>
        <w:rPr>
          <w:rFonts w:ascii="Times New Roman"/>
          <w:b w:val="false"/>
          <w:i w:val="false"/>
          <w:color w:val="000000"/>
          <w:sz w:val="28"/>
        </w:rPr>
        <w:t xml:space="preserve">
      "13-1. Қазақстан Республикасының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bookmarkEnd w:id="6"/>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"14. Лицензия және (немесе) лицензияға қосымша қағаз нысанда берілген кезде, мемлекеттік көрсетілетін қызметті алушы өтініш бойынша оны электрондық нысанға ауыстырады және лицензияның және (немесе) лицензияға қосымшаның электрондық нысанын алады. Бұл ретте мұндай ауыстыру Тізбеге 4-қосымшаға сәйкес нысан бойынша заңды тұлғаның лицензияны және (немесе) лицензияға қосымшаны электрондық форматқа аударуға өтініш беруі арқылы жүзеге асырылады. Лицензияны және (немесе) лицензияға қосымшаны қағаз нысаннан электрондық нысанға ауыстыруды көрсетілетін қызметті беруші 2 (екі) жұмыс күні ішінде жүзеге асырады.";</w:t>
      </w:r>
    </w:p>
    <w:bookmarkEnd w:id="7"/>
    <w:bookmarkStart w:name="z16" w:id="8"/>
    <w:p>
      <w:pPr>
        <w:spacing w:after="0"/>
        <w:ind w:left="0"/>
        <w:jc w:val="both"/>
      </w:pPr>
      <w:r>
        <w:rPr>
          <w:rFonts w:ascii="Times New Roman"/>
          <w:b w:val="false"/>
          <w:i w:val="false"/>
          <w:color w:val="000000"/>
          <w:sz w:val="28"/>
        </w:rPr>
        <w:t>
      мынадай мазмұндағы 17-1-тармақпен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шағымды қарайтын органға (жоғары тұрған әкімшілік органға және (немесе) лауазымды тұлғаға) келіп түскен күннен бастап 3 (үш) жұмыс күнінен кешіктірмей жолдайды. Көрсетілетін қызметті беруші шағымды үш жұмыс күні ішінде қолайлы акт қабылданған, әкімшілік іс-әрекет жасалған, шағымда көрсетілген талаптарды толық қанағаттандыратын жағдайда шағымды қарайтын органға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21" w:id="9"/>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9"/>
    <w:bookmarkStart w:name="z2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3"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1"/>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қыркүйектегі</w:t>
            </w:r>
            <w:r>
              <w:br/>
            </w:r>
            <w:r>
              <w:rPr>
                <w:rFonts w:ascii="Times New Roman"/>
                <w:b w:val="false"/>
                <w:i w:val="false"/>
                <w:color w:val="000000"/>
                <w:sz w:val="20"/>
              </w:rPr>
              <w:t>№ 334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8" w:id="14"/>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қызметін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оның ішінде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2 (екі) жұмыс күні;</w:t>
            </w:r>
          </w:p>
          <w:p>
            <w:pPr>
              <w:spacing w:after="20"/>
              <w:ind w:left="20"/>
              <w:jc w:val="both"/>
            </w:pPr>
            <w:r>
              <w:rPr>
                <w:rFonts w:ascii="Times New Roman"/>
                <w:b w:val="false"/>
                <w:i w:val="false"/>
                <w:color w:val="000000"/>
                <w:sz w:val="20"/>
              </w:rPr>
              <w:t>
3) лицензияны және (немесе) лицензияға қосымшаны электрондық нысанға ауыстыру үшін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адамының электрондық цифрлық қолтаңбасымен (бұдан әрі – ЭЦҚ) куәландырылған электрондық құжат нысанында астық қолхаттарын шығару арқылы қойма қызметі бойынша қызметтер көрсетуге лицензия және (немесе) лицензияға қосымшаны беру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алушыға ақылы негізде көрсетiледi.</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жекелеген қызмет түрлерімен айналысу құқығы үшін лицензиялық алым төлейді,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2) лицензияларды қайта ресімдегені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деңгейлі банктер және банк операцияларының жекелеген түрлерін жүзеге асыратын ұйымдар арқылы,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Лицензиялық алым:</w:t>
            </w:r>
          </w:p>
          <w:p>
            <w:pPr>
              <w:spacing w:after="20"/>
              <w:ind w:left="20"/>
              <w:jc w:val="both"/>
            </w:pPr>
            <w:r>
              <w:rPr>
                <w:rFonts w:ascii="Times New Roman"/>
                <w:b w:val="false"/>
                <w:i w:val="false"/>
                <w:color w:val="000000"/>
                <w:sz w:val="20"/>
              </w:rPr>
              <w:t>
1) лицензияға қосымшаларды беру кезінде;</w:t>
            </w:r>
          </w:p>
          <w:p>
            <w:pPr>
              <w:spacing w:after="20"/>
              <w:ind w:left="20"/>
              <w:jc w:val="both"/>
            </w:pPr>
            <w:r>
              <w:rPr>
                <w:rFonts w:ascii="Times New Roman"/>
                <w:b w:val="false"/>
                <w:i w:val="false"/>
                <w:color w:val="000000"/>
                <w:sz w:val="20"/>
              </w:rPr>
              <w:t xml:space="preserve">
2)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негіздер бойынша лицензиялар және (немесе) лицензияларға қосымшаларды беру кезінде төленбейді.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мәліметтердің электрондық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 </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бөліп шығару және бөлу нысандарында қайта ұйымдастырылған кезде:</w:t>
            </w:r>
          </w:p>
          <w:p>
            <w:pPr>
              <w:spacing w:after="20"/>
              <w:ind w:left="20"/>
              <w:jc w:val="both"/>
            </w:pPr>
            <w:r>
              <w:rPr>
                <w:rFonts w:ascii="Times New Roman"/>
                <w:b w:val="false"/>
                <w:i w:val="false"/>
                <w:color w:val="000000"/>
                <w:sz w:val="20"/>
              </w:rPr>
              <w:t xml:space="preserve">
1)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 бөліп шығару нысанында қайта ұйымдастырылған жағдайда, Қазақстан Республикасының заңнамасында белгіленген тәртіппен ресімделген, бөлу жүргізілген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астық қолхаттарын шығара отырып, қойма қызметі бойынша қызметтер көрсету жөніндегі қызметке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электрондық форматқа ауыстыру үшін:</w:t>
            </w:r>
          </w:p>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электрондық форматқа ауыстыруға арналған өтініші.</w:t>
            </w:r>
          </w:p>
          <w:p>
            <w:pPr>
              <w:spacing w:after="20"/>
              <w:ind w:left="20"/>
              <w:jc w:val="both"/>
            </w:pPr>
            <w:r>
              <w:rPr>
                <w:rFonts w:ascii="Times New Roman"/>
                <w:b w:val="false"/>
                <w:i w:val="false"/>
                <w:color w:val="000000"/>
                <w:sz w:val="20"/>
              </w:rPr>
              <w:t>
Заңды тұлғаны мемлекеттік тіркеу (қайта тіркеу) туралы, жылжымайтын мүлікке (астық сақтау орны, элеватор, астық қабылдау пункті) тіркелген құқықтар және оның техникалық сипаттамалары туралы, лицензия туралы, бюджетке лицензиялық алымның төленгені туралы мәліметтерді көрсетілетін қызметті беруші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үшiн Қазақстан Республикасының заңдарында қызмет түрiмен айналысуға тыйым салынған болуы;</w:t>
            </w:r>
          </w:p>
          <w:p>
            <w:pPr>
              <w:spacing w:after="20"/>
              <w:ind w:left="20"/>
              <w:jc w:val="both"/>
            </w:pPr>
            <w:r>
              <w:rPr>
                <w:rFonts w:ascii="Times New Roman"/>
                <w:b w:val="false"/>
                <w:i w:val="false"/>
                <w:color w:val="000000"/>
                <w:sz w:val="20"/>
              </w:rPr>
              <w:t>
2) лицензиялық алымның енгізілмеген болуы;</w:t>
            </w:r>
          </w:p>
          <w:p>
            <w:pPr>
              <w:spacing w:after="20"/>
              <w:ind w:left="20"/>
              <w:jc w:val="both"/>
            </w:pPr>
            <w:r>
              <w:rPr>
                <w:rFonts w:ascii="Times New Roman"/>
                <w:b w:val="false"/>
                <w:i w:val="false"/>
                <w:color w:val="000000"/>
                <w:sz w:val="20"/>
              </w:rPr>
              <w:t>
 3) көрсетілетін қызметті алушының Қазақстан Республикасы Ауыл шаруашылығы министрінің 2015 жылғы 16 сәуірдегі № 4-1/339 бұйрығымен (Нормативтік құқықтық актілерді мемлекеттік тіркеу тізілімінде № 11595 болып тіркелген) бекітілген астық қолхаттарын шығара отырып, қойма қызметі бойынша қызметтер көрсету жөніндегі қызметке қойылатын біліктілік талаптарына және оларға сәйкестікті растайтын құжаттардың тізбесіне (бұдан әрі – біліктілік талаптары) сәйкес келмеуі;</w:t>
            </w:r>
          </w:p>
          <w:p>
            <w:pPr>
              <w:spacing w:after="20"/>
              <w:ind w:left="20"/>
              <w:jc w:val="both"/>
            </w:pPr>
            <w:r>
              <w:rPr>
                <w:rFonts w:ascii="Times New Roman"/>
                <w:b w:val="false"/>
                <w:i w:val="false"/>
                <w:color w:val="000000"/>
                <w:sz w:val="20"/>
              </w:rPr>
              <w:t xml:space="preserve">
 4)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 </w:t>
            </w:r>
          </w:p>
          <w:p>
            <w:pPr>
              <w:spacing w:after="20"/>
              <w:ind w:left="20"/>
              <w:jc w:val="both"/>
            </w:pPr>
            <w:r>
              <w:rPr>
                <w:rFonts w:ascii="Times New Roman"/>
                <w:b w:val="false"/>
                <w:i w:val="false"/>
                <w:color w:val="000000"/>
                <w:sz w:val="20"/>
              </w:rPr>
              <w:t>
5) сот орындаушысының ұсынымы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6) мемлекеттік көрсетілетін қызметті алу үшін көрсетілген қызметті алушы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құжаттардың ұсынылмауы немесе тиісінше ресімделмеуі негіз болып табылады.</w:t>
            </w:r>
          </w:p>
          <w:p>
            <w:pPr>
              <w:spacing w:after="20"/>
              <w:ind w:left="20"/>
              <w:jc w:val="both"/>
            </w:pPr>
            <w:r>
              <w:rPr>
                <w:rFonts w:ascii="Times New Roman"/>
                <w:b w:val="false"/>
                <w:i w:val="false"/>
                <w:color w:val="000000"/>
                <w:sz w:val="20"/>
              </w:rPr>
              <w:t>
Заңды тұлға-лицензиат бөліп шығу және бөлу нысандарында қайта ұйымдастырылған кезде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пайдаланушының ақпараттық жүйелерінде қолжетімді әдістерді пайдалана отырып авторизациядан өту керек, одан кейін "Цифрлық құжаттар" бөлімінде одан әрі пайдалану үшін қажетті құжат қаралады.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0" w:id="15"/>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15"/>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кезде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түрінің(-лерінің) толық атауы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Заңды тұлғаның мекенжайы____________________________________________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көше </w:t>
      </w:r>
    </w:p>
    <w:p>
      <w:pPr>
        <w:spacing w:after="0"/>
        <w:ind w:left="0"/>
        <w:jc w:val="both"/>
      </w:pPr>
      <w:r>
        <w:rPr>
          <w:rFonts w:ascii="Times New Roman"/>
          <w:b w:val="false"/>
          <w:i w:val="false"/>
          <w:color w:val="000000"/>
          <w:sz w:val="28"/>
        </w:rPr>
        <w:t xml:space="preserve">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Осымен мен ұсынған (толтырылған) ақпараттың дұрыстылығы бойынша </w:t>
      </w:r>
    </w:p>
    <w:p>
      <w:pPr>
        <w:spacing w:after="0"/>
        <w:ind w:left="0"/>
        <w:jc w:val="both"/>
      </w:pPr>
      <w:r>
        <w:rPr>
          <w:rFonts w:ascii="Times New Roman"/>
          <w:b w:val="false"/>
          <w:i w:val="false"/>
          <w:color w:val="000000"/>
          <w:sz w:val="28"/>
        </w:rPr>
        <w:t xml:space="preserve">
      Қазақстан Республикасы заңнамасына сәйкес жауаптылығымды растаймын. </w:t>
      </w:r>
    </w:p>
    <w:p>
      <w:pPr>
        <w:spacing w:after="0"/>
        <w:ind w:left="0"/>
        <w:jc w:val="both"/>
      </w:pPr>
      <w:r>
        <w:rPr>
          <w:rFonts w:ascii="Times New Roman"/>
          <w:b w:val="false"/>
          <w:i w:val="false"/>
          <w:color w:val="000000"/>
          <w:sz w:val="28"/>
        </w:rPr>
        <w:t xml:space="preserve">
      Басшы ______________________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2" w:id="16"/>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 жөніндегі қызметке қойылатын біліктілік талаптарына сәйкестік туралы мәліметтер нысаны</w:t>
      </w:r>
    </w:p>
    <w:bookmarkEnd w:id="16"/>
    <w:p>
      <w:pPr>
        <w:spacing w:after="0"/>
        <w:ind w:left="0"/>
        <w:jc w:val="both"/>
      </w:pPr>
      <w:r>
        <w:rPr>
          <w:rFonts w:ascii="Times New Roman"/>
          <w:b w:val="false"/>
          <w:i w:val="false"/>
          <w:color w:val="000000"/>
          <w:sz w:val="28"/>
        </w:rPr>
        <w:t xml:space="preserve">
      Астық сақтау орнының (элеватордың, астық қабылдау пунктінің)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Құқық иеленушінің бизнес сәйкестендіру нөмірі: _____________________ </w:t>
      </w:r>
    </w:p>
    <w:p>
      <w:pPr>
        <w:spacing w:after="0"/>
        <w:ind w:left="0"/>
        <w:jc w:val="both"/>
      </w:pPr>
      <w:r>
        <w:rPr>
          <w:rFonts w:ascii="Times New Roman"/>
          <w:b w:val="false"/>
          <w:i w:val="false"/>
          <w:color w:val="000000"/>
          <w:sz w:val="28"/>
        </w:rPr>
        <w:t xml:space="preserve">
      Астық сақтау орнының орналасқан жері және кадастрлық </w:t>
      </w:r>
    </w:p>
    <w:p>
      <w:pPr>
        <w:spacing w:after="0"/>
        <w:ind w:left="0"/>
        <w:jc w:val="both"/>
      </w:pPr>
      <w:r>
        <w:rPr>
          <w:rFonts w:ascii="Times New Roman"/>
          <w:b w:val="false"/>
          <w:i w:val="false"/>
          <w:color w:val="000000"/>
          <w:sz w:val="28"/>
        </w:rPr>
        <w:t xml:space="preserve">
      нөмірі _____________________________________________________________ </w:t>
      </w:r>
    </w:p>
    <w:p>
      <w:pPr>
        <w:spacing w:after="0"/>
        <w:ind w:left="0"/>
        <w:jc w:val="both"/>
      </w:pPr>
      <w:r>
        <w:rPr>
          <w:rFonts w:ascii="Times New Roman"/>
          <w:b w:val="false"/>
          <w:i w:val="false"/>
          <w:color w:val="000000"/>
          <w:sz w:val="28"/>
        </w:rPr>
        <w:t>
      Меншік иесі (құқық иеленуші)_______________________________________</w:t>
      </w:r>
    </w:p>
    <w:p>
      <w:pPr>
        <w:spacing w:after="0"/>
        <w:ind w:left="0"/>
        <w:jc w:val="left"/>
      </w:pPr>
      <w:r>
        <w:rPr>
          <w:rFonts w:ascii="Times New Roman"/>
          <w:b/>
          <w:i w:val="false"/>
          <w:color w:val="000000"/>
        </w:rPr>
        <w:t xml:space="preserve">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Өткізу режимінің, аумақ қоршауының, асфальтталған және (немесе) </w:t>
      </w:r>
    </w:p>
    <w:p>
      <w:pPr>
        <w:spacing w:after="0"/>
        <w:ind w:left="0"/>
        <w:jc w:val="both"/>
      </w:pPr>
      <w:r>
        <w:rPr>
          <w:rFonts w:ascii="Times New Roman"/>
          <w:b w:val="false"/>
          <w:i w:val="false"/>
          <w:color w:val="000000"/>
          <w:sz w:val="28"/>
        </w:rPr>
        <w:t xml:space="preserve">
      бетондалған алаңдардың бар жоғы туралы </w:t>
      </w:r>
    </w:p>
    <w:p>
      <w:pPr>
        <w:spacing w:after="0"/>
        <w:ind w:left="0"/>
        <w:jc w:val="both"/>
      </w:pPr>
      <w:r>
        <w:rPr>
          <w:rFonts w:ascii="Times New Roman"/>
          <w:b w:val="false"/>
          <w:i w:val="false"/>
          <w:color w:val="000000"/>
          <w:sz w:val="28"/>
        </w:rPr>
        <w:t xml:space="preserve">
      мәліметтер _____________________________________________________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(асфальтталған және (немесе) бетондалған алаңдар бойынша шаршы </w:t>
      </w:r>
    </w:p>
    <w:p>
      <w:pPr>
        <w:spacing w:after="0"/>
        <w:ind w:left="0"/>
        <w:jc w:val="both"/>
      </w:pPr>
      <w:r>
        <w:rPr>
          <w:rFonts w:ascii="Times New Roman"/>
          <w:b w:val="false"/>
          <w:i w:val="false"/>
          <w:color w:val="000000"/>
          <w:sz w:val="28"/>
        </w:rPr>
        <w:t>
      метрдегі алаң көрсетіледі)</w:t>
      </w:r>
    </w:p>
    <w:p>
      <w:pPr>
        <w:spacing w:after="0"/>
        <w:ind w:left="0"/>
        <w:jc w:val="both"/>
      </w:pPr>
      <w:r>
        <w:rPr>
          <w:rFonts w:ascii="Times New Roman"/>
          <w:b w:val="false"/>
          <w:i w:val="false"/>
          <w:color w:val="000000"/>
          <w:sz w:val="28"/>
        </w:rPr>
        <w:t xml:space="preserve">
      Өлшеу құралдарының типін бекіту туралы, өлшеу құралдарын метрологиялық </w:t>
      </w:r>
    </w:p>
    <w:p>
      <w:pPr>
        <w:spacing w:after="0"/>
        <w:ind w:left="0"/>
        <w:jc w:val="both"/>
      </w:pPr>
      <w:r>
        <w:rPr>
          <w:rFonts w:ascii="Times New Roman"/>
          <w:b w:val="false"/>
          <w:i w:val="false"/>
          <w:color w:val="000000"/>
          <w:sz w:val="28"/>
        </w:rPr>
        <w:t xml:space="preserve">
      аттестаттау туралы және өлшеу құралдарын салыстырып тексеру туралы </w:t>
      </w:r>
    </w:p>
    <w:p>
      <w:pPr>
        <w:spacing w:after="0"/>
        <w:ind w:left="0"/>
        <w:jc w:val="both"/>
      </w:pPr>
      <w:r>
        <w:rPr>
          <w:rFonts w:ascii="Times New Roman"/>
          <w:b w:val="false"/>
          <w:i w:val="false"/>
          <w:color w:val="000000"/>
          <w:sz w:val="28"/>
        </w:rPr>
        <w:t xml:space="preserve">
      сертификаттардың бар-жоғы туралы мәліметтер (сертификаттарды мемлекеттік </w:t>
      </w:r>
    </w:p>
    <w:p>
      <w:pPr>
        <w:spacing w:after="0"/>
        <w:ind w:left="0"/>
        <w:jc w:val="both"/>
      </w:pPr>
      <w:r>
        <w:rPr>
          <w:rFonts w:ascii="Times New Roman"/>
          <w:b w:val="false"/>
          <w:i w:val="false"/>
          <w:color w:val="000000"/>
          <w:sz w:val="28"/>
        </w:rPr>
        <w:t xml:space="preserve">
      метрологиялық қызметтер немесе аккредиттелген заңды тұлғалардың метрологиялық </w:t>
      </w:r>
    </w:p>
    <w:p>
      <w:pPr>
        <w:spacing w:after="0"/>
        <w:ind w:left="0"/>
        <w:jc w:val="both"/>
      </w:pPr>
      <w:r>
        <w:rPr>
          <w:rFonts w:ascii="Times New Roman"/>
          <w:b w:val="false"/>
          <w:i w:val="false"/>
          <w:color w:val="000000"/>
          <w:sz w:val="28"/>
        </w:rPr>
        <w:t>
      қызметтері береді)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залалданғанын анықтауға арналған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Техникалық басшылар мен мамандардың білікті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4" w:id="17"/>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17"/>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арналған </w:t>
      </w:r>
    </w:p>
    <w:p>
      <w:pPr>
        <w:spacing w:after="0"/>
        <w:ind w:left="0"/>
        <w:jc w:val="both"/>
      </w:pPr>
      <w:r>
        <w:rPr>
          <w:rFonts w:ascii="Times New Roman"/>
          <w:b w:val="false"/>
          <w:i w:val="false"/>
          <w:color w:val="000000"/>
          <w:sz w:val="28"/>
        </w:rPr>
        <w:t xml:space="preserve">
      20___жылғы"___"_________берілген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төмендегі негіздер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тәртіпке сәйкес заңды тұлға-лицензиаттың </w:t>
      </w:r>
    </w:p>
    <w:p>
      <w:pPr>
        <w:spacing w:after="0"/>
        <w:ind w:left="0"/>
        <w:jc w:val="both"/>
      </w:pPr>
      <w:r>
        <w:rPr>
          <w:rFonts w:ascii="Times New Roman"/>
          <w:b w:val="false"/>
          <w:i w:val="false"/>
          <w:color w:val="000000"/>
          <w:sz w:val="28"/>
        </w:rPr>
        <w:t xml:space="preserve">
      (тиісті ұяшықта Х көрсетіңіз): </w:t>
      </w:r>
    </w:p>
    <w:p>
      <w:pPr>
        <w:spacing w:after="0"/>
        <w:ind w:left="0"/>
        <w:jc w:val="both"/>
      </w:pPr>
      <w:r>
        <w:rPr>
          <w:rFonts w:ascii="Times New Roman"/>
          <w:b w:val="false"/>
          <w:i w:val="false"/>
          <w:color w:val="000000"/>
          <w:sz w:val="28"/>
        </w:rPr>
        <w:t xml:space="preserve">
      бірігу_______________________________________________________________ </w:t>
      </w:r>
    </w:p>
    <w:p>
      <w:pPr>
        <w:spacing w:after="0"/>
        <w:ind w:left="0"/>
        <w:jc w:val="both"/>
      </w:pPr>
      <w:r>
        <w:rPr>
          <w:rFonts w:ascii="Times New Roman"/>
          <w:b w:val="false"/>
          <w:i w:val="false"/>
          <w:color w:val="000000"/>
          <w:sz w:val="28"/>
        </w:rPr>
        <w:t xml:space="preserve">
      қайта құру ___________________________________________________________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______________________________________________________________ </w:t>
      </w:r>
    </w:p>
    <w:p>
      <w:pPr>
        <w:spacing w:after="0"/>
        <w:ind w:left="0"/>
        <w:jc w:val="both"/>
      </w:pPr>
      <w:r>
        <w:rPr>
          <w:rFonts w:ascii="Times New Roman"/>
          <w:b w:val="false"/>
          <w:i w:val="false"/>
          <w:color w:val="000000"/>
          <w:sz w:val="28"/>
        </w:rPr>
        <w:t xml:space="preserve">
      бөліпшығару _________________________________________________________ </w:t>
      </w:r>
    </w:p>
    <w:p>
      <w:pPr>
        <w:spacing w:after="0"/>
        <w:ind w:left="0"/>
        <w:jc w:val="both"/>
      </w:pPr>
      <w:r>
        <w:rPr>
          <w:rFonts w:ascii="Times New Roman"/>
          <w:b w:val="false"/>
          <w:i w:val="false"/>
          <w:color w:val="000000"/>
          <w:sz w:val="28"/>
        </w:rPr>
        <w:t xml:space="preserve">
      бөліну _________________________________жолымен қайта ұйымдастырылуы </w:t>
      </w:r>
    </w:p>
    <w:p>
      <w:pPr>
        <w:spacing w:after="0"/>
        <w:ind w:left="0"/>
        <w:jc w:val="both"/>
      </w:pPr>
      <w:r>
        <w:rPr>
          <w:rFonts w:ascii="Times New Roman"/>
          <w:b w:val="false"/>
          <w:i w:val="false"/>
          <w:color w:val="000000"/>
          <w:sz w:val="28"/>
        </w:rPr>
        <w:t xml:space="preserve">
      2) заңды тұлға лицензиат атауының өзгеруі____________________________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заңды тұлға лицензиаттың орналасқан жерінің өзгеруі________________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лицензияларға қосымшалар үшін объектілерді көрсете отырып, объект нақты </w:t>
      </w:r>
    </w:p>
    <w:p>
      <w:pPr>
        <w:spacing w:after="0"/>
        <w:ind w:left="0"/>
        <w:jc w:val="both"/>
      </w:pPr>
      <w:r>
        <w:rPr>
          <w:rFonts w:ascii="Times New Roman"/>
          <w:b w:val="false"/>
          <w:i w:val="false"/>
          <w:color w:val="000000"/>
          <w:sz w:val="28"/>
        </w:rPr>
        <w:t xml:space="preserve">
      көшірілмей оның орналасқан жерінің мекенжайын өзгерту______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Қазақстан Республикасының заңдарында қайта рәсімдеу талабының </w:t>
      </w:r>
    </w:p>
    <w:p>
      <w:pPr>
        <w:spacing w:after="0"/>
        <w:ind w:left="0"/>
        <w:jc w:val="both"/>
      </w:pPr>
      <w:r>
        <w:rPr>
          <w:rFonts w:ascii="Times New Roman"/>
          <w:b w:val="false"/>
          <w:i w:val="false"/>
          <w:color w:val="000000"/>
          <w:sz w:val="28"/>
        </w:rPr>
        <w:t xml:space="preserve">
      болуы 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елді </w:t>
      </w:r>
    </w:p>
    <w:p>
      <w:pPr>
        <w:spacing w:after="0"/>
        <w:ind w:left="0"/>
        <w:jc w:val="both"/>
      </w:pPr>
      <w:r>
        <w:rPr>
          <w:rFonts w:ascii="Times New Roman"/>
          <w:b w:val="false"/>
          <w:i w:val="false"/>
          <w:color w:val="000000"/>
          <w:sz w:val="28"/>
        </w:rPr>
        <w:t xml:space="preserve">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 ғимараттың (стационарлық үй-жайдың)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барлық қоса беріліп отырған құжаттардың шындыққа сәйкес келетіндігі және жарамды </w:t>
      </w:r>
    </w:p>
    <w:p>
      <w:pPr>
        <w:spacing w:after="0"/>
        <w:ind w:left="0"/>
        <w:jc w:val="both"/>
      </w:pPr>
      <w:r>
        <w:rPr>
          <w:rFonts w:ascii="Times New Roman"/>
          <w:b w:val="false"/>
          <w:i w:val="false"/>
          <w:color w:val="000000"/>
          <w:sz w:val="28"/>
        </w:rPr>
        <w:t xml:space="preserve">
      болып табылатындығы;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xml:space="preserve">
      деректерді пайдалануға келісім беретіндігі расталады; </w:t>
      </w:r>
    </w:p>
    <w:p>
      <w:pPr>
        <w:spacing w:after="0"/>
        <w:ind w:left="0"/>
        <w:jc w:val="both"/>
      </w:pPr>
      <w:r>
        <w:rPr>
          <w:rFonts w:ascii="Times New Roman"/>
          <w:b w:val="false"/>
          <w:i w:val="false"/>
          <w:color w:val="000000"/>
          <w:sz w:val="28"/>
        </w:rPr>
        <w:t xml:space="preserve">
      өтініш беруші өтінішті (халыққа қызмет көрсету орталығы арқылы жүгінген кезде) </w:t>
      </w:r>
    </w:p>
    <w:p>
      <w:pPr>
        <w:spacing w:after="0"/>
        <w:ind w:left="0"/>
        <w:jc w:val="both"/>
      </w:pPr>
      <w:r>
        <w:rPr>
          <w:rFonts w:ascii="Times New Roman"/>
          <w:b w:val="false"/>
          <w:i w:val="false"/>
          <w:color w:val="000000"/>
          <w:sz w:val="28"/>
        </w:rPr>
        <w:t xml:space="preserve">
      халыққа қызмет көрсету орталығы жұмыскерінің электрондық цифрлық </w:t>
      </w:r>
    </w:p>
    <w:p>
      <w:pPr>
        <w:spacing w:after="0"/>
        <w:ind w:left="0"/>
        <w:jc w:val="both"/>
      </w:pPr>
      <w:r>
        <w:rPr>
          <w:rFonts w:ascii="Times New Roman"/>
          <w:b w:val="false"/>
          <w:i w:val="false"/>
          <w:color w:val="000000"/>
          <w:sz w:val="28"/>
        </w:rPr>
        <w:t xml:space="preserve">
      қолтаңбасымен куәландыруға келіседі </w:t>
      </w:r>
    </w:p>
    <w:p>
      <w:pPr>
        <w:spacing w:after="0"/>
        <w:ind w:left="0"/>
        <w:jc w:val="both"/>
      </w:pPr>
      <w:r>
        <w:rPr>
          <w:rFonts w:ascii="Times New Roman"/>
          <w:b w:val="false"/>
          <w:i w:val="false"/>
          <w:color w:val="000000"/>
          <w:sz w:val="28"/>
        </w:rPr>
        <w:t xml:space="preserve">
      Басшы _______________________________ _________________________________ </w:t>
      </w:r>
    </w:p>
    <w:p>
      <w:pPr>
        <w:spacing w:after="0"/>
        <w:ind w:left="0"/>
        <w:jc w:val="both"/>
      </w:pPr>
      <w:r>
        <w:rPr>
          <w:rFonts w:ascii="Times New Roman"/>
          <w:b w:val="false"/>
          <w:i w:val="false"/>
          <w:color w:val="000000"/>
          <w:sz w:val="28"/>
        </w:rPr>
        <w:t>
                  (электрондық цифрлық қалтаңбасы)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6" w:id="18"/>
    <w:p>
      <w:pPr>
        <w:spacing w:after="0"/>
        <w:ind w:left="0"/>
        <w:jc w:val="left"/>
      </w:pPr>
      <w:r>
        <w:rPr>
          <w:rFonts w:ascii="Times New Roman"/>
          <w:b/>
          <w:i w:val="false"/>
          <w:color w:val="000000"/>
        </w:rPr>
        <w:t xml:space="preserve"> Заңды тұлғаның лицензияны және (немесе) лицензияға қосымшаны электрондық форматқа ауыстыруға арналған өтініші</w:t>
      </w:r>
    </w:p>
    <w:bookmarkEnd w:id="18"/>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болмаған кезде, шетелдік заңды тұлғаның филиалы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(түрлерінің) толық </w:t>
      </w:r>
    </w:p>
    <w:p>
      <w:pPr>
        <w:spacing w:after="0"/>
        <w:ind w:left="0"/>
        <w:jc w:val="both"/>
      </w:pPr>
      <w:r>
        <w:rPr>
          <w:rFonts w:ascii="Times New Roman"/>
          <w:b w:val="false"/>
          <w:i w:val="false"/>
          <w:color w:val="000000"/>
          <w:sz w:val="28"/>
        </w:rPr>
        <w:t xml:space="preserve">
      атауын көрсету) </w:t>
      </w:r>
    </w:p>
    <w:p>
      <w:pPr>
        <w:spacing w:after="0"/>
        <w:ind w:left="0"/>
        <w:jc w:val="both"/>
      </w:pPr>
      <w:r>
        <w:rPr>
          <w:rFonts w:ascii="Times New Roman"/>
          <w:b w:val="false"/>
          <w:i w:val="false"/>
          <w:color w:val="000000"/>
          <w:sz w:val="28"/>
        </w:rPr>
        <w:t xml:space="preserve">
      жүзеге асыруға арналған лицензияны және (немесе) лицензияға қосымшаны </w:t>
      </w:r>
    </w:p>
    <w:p>
      <w:pPr>
        <w:spacing w:after="0"/>
        <w:ind w:left="0"/>
        <w:jc w:val="both"/>
      </w:pPr>
      <w:r>
        <w:rPr>
          <w:rFonts w:ascii="Times New Roman"/>
          <w:b w:val="false"/>
          <w:i w:val="false"/>
          <w:color w:val="000000"/>
          <w:sz w:val="28"/>
        </w:rPr>
        <w:t xml:space="preserve">
      электрондық форматқа ауыстыруды өтінемін.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облыс, қала, аудан, </w:t>
      </w:r>
    </w:p>
    <w:p>
      <w:pPr>
        <w:spacing w:after="0"/>
        <w:ind w:left="0"/>
        <w:jc w:val="both"/>
      </w:pPr>
      <w:r>
        <w:rPr>
          <w:rFonts w:ascii="Times New Roman"/>
          <w:b w:val="false"/>
          <w:i w:val="false"/>
          <w:color w:val="000000"/>
          <w:sz w:val="28"/>
        </w:rPr>
        <w:t>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Электрондық почтасы 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xml:space="preserve">
      ғимараттың (стационарлық үй-жайдың) нөмірі)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 ресми байланыс деректері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xml:space="preserve">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салмағандығы; </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