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3d08" w14:textId="8e03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борышының шекті көлемін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18 қыркүйектегі № 164 бұйрығы. Қазақстан Республикасының Әділет министрлігінде 2023 жылғы 21 қыркүйекте № 33444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35-3)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Квазимемлекеттік сектордың сыртқы борышының шекті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164 Бұйрықпен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Квазимемлекеттік сектордың сыртқы борышының шекті көлемін айқындау қағидалары</w:t>
      </w:r>
    </w:p>
    <w:bookmarkEnd w:id="5"/>
    <w:bookmarkStart w:name="z7" w:id="6"/>
    <w:p>
      <w:pPr>
        <w:spacing w:after="0"/>
        <w:ind w:left="0"/>
        <w:jc w:val="both"/>
      </w:pPr>
      <w:r>
        <w:rPr>
          <w:rFonts w:ascii="Times New Roman"/>
          <w:b w:val="false"/>
          <w:i w:val="false"/>
          <w:color w:val="000000"/>
          <w:sz w:val="28"/>
        </w:rPr>
        <w:t xml:space="preserve">
      1. Осы Квазимемлекеттік сектордың сыртқы борышының шекті көлемін айқындау қағидалары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35-3) тармақшасына</w:t>
      </w:r>
      <w:r>
        <w:rPr>
          <w:rFonts w:ascii="Times New Roman"/>
          <w:b w:val="false"/>
          <w:i w:val="false"/>
          <w:color w:val="000000"/>
          <w:sz w:val="28"/>
        </w:rPr>
        <w:t xml:space="preserve"> сәйкес әзірленді және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 Президентінің 2022 жылғы 10 қыркүйектегі № 1005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қаржысын басқарудың 2030 жылға дейінгі тұжырымдамасында (бұдан әрі – Тұжырымдама) белгіленген шектеулер шеңберінде квазимемлекеттік сектордың сыртқы қарыздарының көлемін айқындау тәртібін айқындайды.</w:t>
      </w:r>
    </w:p>
    <w:bookmarkEnd w:id="6"/>
    <w:bookmarkStart w:name="z8"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9" w:id="8"/>
    <w:p>
      <w:pPr>
        <w:spacing w:after="0"/>
        <w:ind w:left="0"/>
        <w:jc w:val="both"/>
      </w:pPr>
      <w:r>
        <w:rPr>
          <w:rFonts w:ascii="Times New Roman"/>
          <w:b w:val="false"/>
          <w:i w:val="false"/>
          <w:color w:val="000000"/>
          <w:sz w:val="28"/>
        </w:rPr>
        <w:t xml:space="preserve">
      1) сыртқы борыш – квазимемлекеттік сектор субъектісінің Қазақстан Республикасының бейрезиденттерінен белгілі бір күнге алған және оның алдында өтелмеген қарыздарының сомасы; </w:t>
      </w:r>
    </w:p>
    <w:bookmarkEnd w:id="8"/>
    <w:bookmarkStart w:name="z10" w:id="9"/>
    <w:p>
      <w:pPr>
        <w:spacing w:after="0"/>
        <w:ind w:left="0"/>
        <w:jc w:val="both"/>
      </w:pPr>
      <w:r>
        <w:rPr>
          <w:rFonts w:ascii="Times New Roman"/>
          <w:b w:val="false"/>
          <w:i w:val="false"/>
          <w:color w:val="000000"/>
          <w:sz w:val="28"/>
        </w:rPr>
        <w:t>
      2) сыртқы қарыз – қарыз беруші Қазақстан Республикасының бейрезиденті, ал қарыз алушы квазимемлекеттік сектор субъектісі болатын қарыз қатынастары.</w:t>
      </w:r>
    </w:p>
    <w:bookmarkEnd w:id="9"/>
    <w:bookmarkStart w:name="z11" w:id="10"/>
    <w:p>
      <w:pPr>
        <w:spacing w:after="0"/>
        <w:ind w:left="0"/>
        <w:jc w:val="both"/>
      </w:pPr>
      <w:r>
        <w:rPr>
          <w:rFonts w:ascii="Times New Roman"/>
          <w:b w:val="false"/>
          <w:i w:val="false"/>
          <w:color w:val="000000"/>
          <w:sz w:val="28"/>
        </w:rPr>
        <w:t>
      3. Квазимемлекеттік сектордың сыртқы борышының шекті көлемі квазимемлекеттік сектор тартатын қарыздар портфелін тиімді басқару арқылы елдің сыртқы борышының орнықтылығы индикаторларының нашарлау тәуекелдерін барынша азайту жағдайында мемлекеттік жоспарлау жөніндегі уәкілетті орган жанындағы Квазимемлекеттік сектордың сыртқы борышының шекті көлемін айқындау мәселелері жөніндегі комиссияның ұсынымдары ескеріле отырып айқындалады.</w:t>
      </w:r>
    </w:p>
    <w:bookmarkEnd w:id="10"/>
    <w:bookmarkStart w:name="z12" w:id="11"/>
    <w:p>
      <w:pPr>
        <w:spacing w:after="0"/>
        <w:ind w:left="0"/>
        <w:jc w:val="both"/>
      </w:pPr>
      <w:r>
        <w:rPr>
          <w:rFonts w:ascii="Times New Roman"/>
          <w:b w:val="false"/>
          <w:i w:val="false"/>
          <w:color w:val="000000"/>
          <w:sz w:val="28"/>
        </w:rPr>
        <w:t xml:space="preserve">
      4. Квазимемлекеттік сектор субъектілері мемлекеттік жоспарлау жөніндегі орталық уәкілетті органға жоспарланатын жылдың алдындағы жылдың 1 тамызына дейінгі мерзімде жоспарланатын қаржы жылына арналған болжамды қарыз алу жоспарларын және сыртқы борышты өтеу көлемін ұсынады. Қарыз алу жоспарларын түзету даму жоспарларына өзгерістер енгізілген жағдайда жүзеге асырылады. </w:t>
      </w:r>
    </w:p>
    <w:bookmarkEnd w:id="11"/>
    <w:bookmarkStart w:name="z13" w:id="12"/>
    <w:p>
      <w:pPr>
        <w:spacing w:after="0"/>
        <w:ind w:left="0"/>
        <w:jc w:val="both"/>
      </w:pPr>
      <w:r>
        <w:rPr>
          <w:rFonts w:ascii="Times New Roman"/>
          <w:b w:val="false"/>
          <w:i w:val="false"/>
          <w:color w:val="000000"/>
          <w:sz w:val="28"/>
        </w:rPr>
        <w:t>
      Квазимемлекеттік сектор субъектісінің тиісті қаржы жылының соңындағы сыртқы борышының шекті көлемі Комиссияның ұсынымдары ескеріле отырып, тиісті қаржы жылына тартуға жоспарланып отырған сыртқы қарыздар көлемі мен тиісті қаржы жылында сыртқы борыштың болжамды өтелуі ескеріле отырып, жыл басындағы сыртқы борыштың жиынтық мәнімен айқындалады:</w:t>
      </w:r>
    </w:p>
    <w:bookmarkEnd w:id="12"/>
    <w:bookmarkStart w:name="z14" w:id="13"/>
    <w:p>
      <w:pPr>
        <w:spacing w:after="0"/>
        <w:ind w:left="0"/>
        <w:jc w:val="both"/>
      </w:pPr>
      <w:r>
        <w:rPr>
          <w:rFonts w:ascii="Times New Roman"/>
          <w:b w:val="false"/>
          <w:i w:val="false"/>
          <w:color w:val="000000"/>
          <w:sz w:val="28"/>
        </w:rPr>
        <w:t>
      Dqe = Lye + Dqeb – С, мұнда:</w:t>
      </w:r>
    </w:p>
    <w:bookmarkEnd w:id="13"/>
    <w:bookmarkStart w:name="z15" w:id="14"/>
    <w:p>
      <w:pPr>
        <w:spacing w:after="0"/>
        <w:ind w:left="0"/>
        <w:jc w:val="both"/>
      </w:pPr>
      <w:r>
        <w:rPr>
          <w:rFonts w:ascii="Times New Roman"/>
          <w:b w:val="false"/>
          <w:i w:val="false"/>
          <w:color w:val="000000"/>
          <w:sz w:val="28"/>
        </w:rPr>
        <w:t>
      Dqe – квазимемлекеттік сектор субъектісінің номиналдық құны теңгемен немесе АҚШ долларына балама түрде көрсетілген тиісті қаржы жылындағы сыртқы борышының шекті көлемі;</w:t>
      </w:r>
    </w:p>
    <w:bookmarkEnd w:id="14"/>
    <w:bookmarkStart w:name="z16" w:id="15"/>
    <w:p>
      <w:pPr>
        <w:spacing w:after="0"/>
        <w:ind w:left="0"/>
        <w:jc w:val="both"/>
      </w:pPr>
      <w:r>
        <w:rPr>
          <w:rFonts w:ascii="Times New Roman"/>
          <w:b w:val="false"/>
          <w:i w:val="false"/>
          <w:color w:val="000000"/>
          <w:sz w:val="28"/>
        </w:rPr>
        <w:t>
      Lye – квазимемлекеттік сектор субъектісінің жыл басындағы сыртқы борышы;</w:t>
      </w:r>
    </w:p>
    <w:bookmarkEnd w:id="15"/>
    <w:bookmarkStart w:name="z17" w:id="16"/>
    <w:p>
      <w:pPr>
        <w:spacing w:after="0"/>
        <w:ind w:left="0"/>
        <w:jc w:val="both"/>
      </w:pPr>
      <w:r>
        <w:rPr>
          <w:rFonts w:ascii="Times New Roman"/>
          <w:b w:val="false"/>
          <w:i w:val="false"/>
          <w:color w:val="000000"/>
          <w:sz w:val="28"/>
        </w:rPr>
        <w:t>
      Dqeb – квазимемлекеттік сектор субъектісінің тиісті қаржы жылы тарту жоспарланып отырған сыртқы қарыздарының көлемі;</w:t>
      </w:r>
    </w:p>
    <w:bookmarkEnd w:id="16"/>
    <w:bookmarkStart w:name="z18" w:id="17"/>
    <w:p>
      <w:pPr>
        <w:spacing w:after="0"/>
        <w:ind w:left="0"/>
        <w:jc w:val="both"/>
      </w:pPr>
      <w:r>
        <w:rPr>
          <w:rFonts w:ascii="Times New Roman"/>
          <w:b w:val="false"/>
          <w:i w:val="false"/>
          <w:color w:val="000000"/>
          <w:sz w:val="28"/>
        </w:rPr>
        <w:t>
      С – квазимемлекеттік сектор субъектісінің тиісті қаржы жылы сыртқы борышты өтеу болжамы.</w:t>
      </w:r>
    </w:p>
    <w:bookmarkEnd w:id="17"/>
    <w:bookmarkStart w:name="z19" w:id="18"/>
    <w:p>
      <w:pPr>
        <w:spacing w:after="0"/>
        <w:ind w:left="0"/>
        <w:jc w:val="both"/>
      </w:pPr>
      <w:r>
        <w:rPr>
          <w:rFonts w:ascii="Times New Roman"/>
          <w:b w:val="false"/>
          <w:i w:val="false"/>
          <w:color w:val="000000"/>
          <w:sz w:val="28"/>
        </w:rPr>
        <w:t>
      Квазимемлекеттік сектор субъектілерінің сыртқы қарыздарының шекті көлемі Тұжырымдамада айқындалған шектеулерге сәйкес айқындалады.</w:t>
      </w:r>
    </w:p>
    <w:bookmarkEnd w:id="18"/>
    <w:bookmarkStart w:name="z20" w:id="19"/>
    <w:p>
      <w:pPr>
        <w:spacing w:after="0"/>
        <w:ind w:left="0"/>
        <w:jc w:val="both"/>
      </w:pPr>
      <w:r>
        <w:rPr>
          <w:rFonts w:ascii="Times New Roman"/>
          <w:b w:val="false"/>
          <w:i w:val="false"/>
          <w:color w:val="000000"/>
          <w:sz w:val="28"/>
        </w:rPr>
        <w:t>
      Егер квазимемлекеттік сектор субъектілерінің сыртқы қарыздарының мәлімделген жиынтық көлемі квазимемлекеттік сектор субъектілерінің сыртқы қарыздарының шекті көлемінен артық болса (Lya &gt; Lp), онда квазимемлекеттік сектор субъектілерінің тиісті қаржы жылындағы сыртқы борышының шекті көлемі квазимемлекеттік сектор субъектісінің сыртқы қарыздарының үлес салмағының квазимемлекеттік сектор субъектілерінің сыртқы қарыздарының шекті көлеміне көбейтіндісі арқылы айқындалады:</w:t>
      </w:r>
    </w:p>
    <w:bookmarkEnd w:id="19"/>
    <w:bookmarkStart w:name="z21" w:id="20"/>
    <w:p>
      <w:pPr>
        <w:spacing w:after="0"/>
        <w:ind w:left="0"/>
        <w:jc w:val="both"/>
      </w:pPr>
      <w:r>
        <w:rPr>
          <w:rFonts w:ascii="Times New Roman"/>
          <w:b w:val="false"/>
          <w:i w:val="false"/>
          <w:color w:val="000000"/>
          <w:sz w:val="28"/>
        </w:rPr>
        <w:t>
      Llim = W х Lp.</w:t>
      </w:r>
    </w:p>
    <w:bookmarkEnd w:id="20"/>
    <w:bookmarkStart w:name="z22" w:id="21"/>
    <w:p>
      <w:pPr>
        <w:spacing w:after="0"/>
        <w:ind w:left="0"/>
        <w:jc w:val="both"/>
      </w:pPr>
      <w:r>
        <w:rPr>
          <w:rFonts w:ascii="Times New Roman"/>
          <w:b w:val="false"/>
          <w:i w:val="false"/>
          <w:color w:val="000000"/>
          <w:sz w:val="28"/>
        </w:rPr>
        <w:t>
      Бұл жағдайда квазимемлекеттік сектор субъектісінің сыртқы қарыздарының үлес салмағы кесімді шара ретінде пайдаланылады және мына формула бойынша есептеледі:</w:t>
      </w:r>
    </w:p>
    <w:bookmarkEnd w:id="21"/>
    <w:bookmarkStart w:name="z23" w:id="22"/>
    <w:p>
      <w:pPr>
        <w:spacing w:after="0"/>
        <w:ind w:left="0"/>
        <w:jc w:val="both"/>
      </w:pPr>
      <w:r>
        <w:rPr>
          <w:rFonts w:ascii="Times New Roman"/>
          <w:b w:val="false"/>
          <w:i w:val="false"/>
          <w:color w:val="000000"/>
          <w:sz w:val="28"/>
        </w:rPr>
        <w:t>
      W = (Ld/ Lya) х 100, мұнда:</w:t>
      </w:r>
    </w:p>
    <w:bookmarkEnd w:id="22"/>
    <w:bookmarkStart w:name="z24" w:id="23"/>
    <w:p>
      <w:pPr>
        <w:spacing w:after="0"/>
        <w:ind w:left="0"/>
        <w:jc w:val="both"/>
      </w:pPr>
      <w:r>
        <w:rPr>
          <w:rFonts w:ascii="Times New Roman"/>
          <w:b w:val="false"/>
          <w:i w:val="false"/>
          <w:color w:val="000000"/>
          <w:sz w:val="28"/>
        </w:rPr>
        <w:t>
      W – квазимемлекеттік сектор субъектісінің сыртқы қарыздарының үлес салмағы;</w:t>
      </w:r>
    </w:p>
    <w:bookmarkEnd w:id="23"/>
    <w:bookmarkStart w:name="z25" w:id="24"/>
    <w:p>
      <w:pPr>
        <w:spacing w:after="0"/>
        <w:ind w:left="0"/>
        <w:jc w:val="both"/>
      </w:pPr>
      <w:r>
        <w:rPr>
          <w:rFonts w:ascii="Times New Roman"/>
          <w:b w:val="false"/>
          <w:i w:val="false"/>
          <w:color w:val="000000"/>
          <w:sz w:val="28"/>
        </w:rPr>
        <w:t>
      Ld – квазимемлекеттік сектор субъектісінің сыртқы қарыздарының мәлімделген көлемі;</w:t>
      </w:r>
    </w:p>
    <w:bookmarkEnd w:id="24"/>
    <w:bookmarkStart w:name="z26" w:id="25"/>
    <w:p>
      <w:pPr>
        <w:spacing w:after="0"/>
        <w:ind w:left="0"/>
        <w:jc w:val="both"/>
      </w:pPr>
      <w:r>
        <w:rPr>
          <w:rFonts w:ascii="Times New Roman"/>
          <w:b w:val="false"/>
          <w:i w:val="false"/>
          <w:color w:val="000000"/>
          <w:sz w:val="28"/>
        </w:rPr>
        <w:t>
      Lp – квазимемлекеттік сектор субъектілерінің тиісті қаржы жылындағы сыртқы қарыздарының шекті көлемі;</w:t>
      </w:r>
    </w:p>
    <w:bookmarkEnd w:id="25"/>
    <w:bookmarkStart w:name="z27" w:id="26"/>
    <w:p>
      <w:pPr>
        <w:spacing w:after="0"/>
        <w:ind w:left="0"/>
        <w:jc w:val="both"/>
      </w:pPr>
      <w:r>
        <w:rPr>
          <w:rFonts w:ascii="Times New Roman"/>
          <w:b w:val="false"/>
          <w:i w:val="false"/>
          <w:color w:val="000000"/>
          <w:sz w:val="28"/>
        </w:rPr>
        <w:t>
      Lya – квазимемлекеттік сектор субъектілерінің сыртқы қарыздарының мәлімделген жиынтық көлемі;</w:t>
      </w:r>
    </w:p>
    <w:bookmarkEnd w:id="26"/>
    <w:bookmarkStart w:name="z28" w:id="27"/>
    <w:p>
      <w:pPr>
        <w:spacing w:after="0"/>
        <w:ind w:left="0"/>
        <w:jc w:val="both"/>
      </w:pPr>
      <w:r>
        <w:rPr>
          <w:rFonts w:ascii="Times New Roman"/>
          <w:b w:val="false"/>
          <w:i w:val="false"/>
          <w:color w:val="000000"/>
          <w:sz w:val="28"/>
        </w:rPr>
        <w:t>
      Lim – квазимемлекеттік сектор субъектілерінің сыртқы борышының шекті көлемі.</w:t>
      </w:r>
    </w:p>
    <w:bookmarkEnd w:id="27"/>
    <w:bookmarkStart w:name="z29" w:id="28"/>
    <w:p>
      <w:pPr>
        <w:spacing w:after="0"/>
        <w:ind w:left="0"/>
        <w:jc w:val="both"/>
      </w:pPr>
      <w:r>
        <w:rPr>
          <w:rFonts w:ascii="Times New Roman"/>
          <w:b w:val="false"/>
          <w:i w:val="false"/>
          <w:color w:val="000000"/>
          <w:sz w:val="28"/>
        </w:rPr>
        <w:t>
      5. Квазимемлекеттік сектор субъектісінің тиісті қаржы жылын сыртқы борышының шекті көлемі жоспарланатын жылдың алдындағы жылдың 1 желтоқсанына дейінгі мерзімде бекітіледі.</w:t>
      </w:r>
    </w:p>
    <w:bookmarkEnd w:id="28"/>
    <w:bookmarkStart w:name="z30" w:id="29"/>
    <w:p>
      <w:pPr>
        <w:spacing w:after="0"/>
        <w:ind w:left="0"/>
        <w:jc w:val="both"/>
      </w:pPr>
      <w:r>
        <w:rPr>
          <w:rFonts w:ascii="Times New Roman"/>
          <w:b w:val="false"/>
          <w:i w:val="false"/>
          <w:color w:val="000000"/>
          <w:sz w:val="28"/>
        </w:rPr>
        <w:t>
      6. Квазимемлекеттік сектор субъектісі бекітілген сыртқы борыштың шекті көлемі негізінде дауыс беретін акцияларының немесе жарғылық капиталға қатысу үлесінің елу пайызынан астамы негізгі ұйымға тиесілі өзінің еншілес, тәуелді және өзінің корпоративтік құрылымының құрамына кіретін өзге ұйымдар үшін сыртқы борыштың көлемін дербес бөледі.</w:t>
      </w:r>
    </w:p>
    <w:bookmarkEnd w:id="29"/>
    <w:bookmarkStart w:name="z31" w:id="30"/>
    <w:p>
      <w:pPr>
        <w:spacing w:after="0"/>
        <w:ind w:left="0"/>
        <w:jc w:val="both"/>
      </w:pPr>
      <w:r>
        <w:rPr>
          <w:rFonts w:ascii="Times New Roman"/>
          <w:b w:val="false"/>
          <w:i w:val="false"/>
          <w:color w:val="000000"/>
          <w:sz w:val="28"/>
        </w:rPr>
        <w:t>
      7. Квазимемлекеттік сектордың сыртқы борышының шекті көлемін түзету бюджет параметрлері өзгерген кезде немесе квазимемлекеттік сектордың түзетілген қарыз алу жоспарлары негізінде жүзеге асырылуы мүмкін.</w:t>
      </w:r>
    </w:p>
    <w:bookmarkEnd w:id="30"/>
    <w:bookmarkStart w:name="z32" w:id="31"/>
    <w:p>
      <w:pPr>
        <w:spacing w:after="0"/>
        <w:ind w:left="0"/>
        <w:jc w:val="both"/>
      </w:pPr>
      <w:r>
        <w:rPr>
          <w:rFonts w:ascii="Times New Roman"/>
          <w:b w:val="false"/>
          <w:i w:val="false"/>
          <w:color w:val="000000"/>
          <w:sz w:val="28"/>
        </w:rPr>
        <w:t>
      8. Квазимемлекеттік сектор субъектілері сыртқы қарыз алу шеңберінде өз міндеттемелерін орындауды дербес қамтамасыз етеді.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