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eed8" w14:textId="ba2e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25 тамыздағы № 315 бұйрығы. Қазақстан Республикасының Әділет министрлігінде 2023 жылғы 31 тамызда № 33353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5" w:id="1"/>
    <w:p>
      <w:pPr>
        <w:spacing w:after="0"/>
        <w:ind w:left="0"/>
        <w:jc w:val="both"/>
      </w:pPr>
      <w:r>
        <w:rPr>
          <w:rFonts w:ascii="Times New Roman"/>
          <w:b w:val="false"/>
          <w:i w:val="false"/>
          <w:color w:val="000000"/>
          <w:sz w:val="28"/>
        </w:rPr>
        <w:t>
      5.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Көрсетілетін қызметті берушінің кеңсе жұмыскері Тізбенің 8-тармағында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одан кейінгі жақын жұмыс күні жүзеге асырылады.</w:t>
      </w:r>
    </w:p>
    <w:bookmarkStart w:name="z8" w:id="3"/>
    <w:p>
      <w:pPr>
        <w:spacing w:after="0"/>
        <w:ind w:left="0"/>
        <w:jc w:val="both"/>
      </w:pPr>
      <w:r>
        <w:rPr>
          <w:rFonts w:ascii="Times New Roman"/>
          <w:b w:val="false"/>
          <w:i w:val="false"/>
          <w:color w:val="000000"/>
          <w:sz w:val="28"/>
        </w:rPr>
        <w:t>
      9. Көрсетілетін қызметті берушінің жауапты жұмыскері Тізбенің 8-тармағында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3"/>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жұмыскері портал арқылы электрондық нысанда халықтың санитариялық-эпидемиологиялық саламаттылығы саласындағы мемлекеттік органның аумақтық бөлімшесіне (бұдан әрі – келісуші орган) сұраным жолдайды.</w:t>
      </w:r>
    </w:p>
    <w:bookmarkStart w:name="z9" w:id="4"/>
    <w:p>
      <w:pPr>
        <w:spacing w:after="0"/>
        <w:ind w:left="0"/>
        <w:jc w:val="both"/>
      </w:pPr>
      <w:r>
        <w:rPr>
          <w:rFonts w:ascii="Times New Roman"/>
          <w:b w:val="false"/>
          <w:i w:val="false"/>
          <w:color w:val="000000"/>
          <w:sz w:val="28"/>
        </w:rPr>
        <w:t>
      10. Келісуші органның қызметкері сұраным келіп түскен сәттен бастап 7 (жеті) жұмыс күні ішінде көрсетілетін қызметті алушының Қазақстан Республикасы заңнамасының талаптарына сәйкестігін немесе сәйкес еместігін анықтайды, оның нәтижелері бойынша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жауапты немесе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келісуден бас тарту туралы жауапты (бұдан әрі – жауап) жасайды.</w:t>
      </w:r>
    </w:p>
    <w:bookmarkEnd w:id="4"/>
    <w:p>
      <w:pPr>
        <w:spacing w:after="0"/>
        <w:ind w:left="0"/>
        <w:jc w:val="both"/>
      </w:pPr>
      <w:r>
        <w:rPr>
          <w:rFonts w:ascii="Times New Roman"/>
          <w:b w:val="false"/>
          <w:i w:val="false"/>
          <w:color w:val="000000"/>
          <w:sz w:val="28"/>
        </w:rPr>
        <w:t>
      Келісуші орган басшысының ЭЦҚ-мен куәландырылған электрондық құжат нысанындағы жауап портал арқылы көрсетілетін қызметті берушіге жіберіледі.</w:t>
      </w:r>
    </w:p>
    <w:p>
      <w:pPr>
        <w:spacing w:after="0"/>
        <w:ind w:left="0"/>
        <w:jc w:val="both"/>
      </w:pPr>
      <w:r>
        <w:rPr>
          <w:rFonts w:ascii="Times New Roman"/>
          <w:b w:val="false"/>
          <w:i w:val="false"/>
          <w:color w:val="000000"/>
          <w:sz w:val="28"/>
        </w:rPr>
        <w:t xml:space="preserve">
      Келісуші орган белгіленген мерзімдерде жауап бермеген жағдайда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және (немесе) лицензияға қосымша келісілді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Лицензия және (немесе) лицензияға қосымшаны беруден бас тарту үшін негіздер болмаған кезде,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 алынған 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 сәттен бастап 3 (үш) жұмыс күні ішінде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ресімдейді.</w:t>
      </w:r>
    </w:p>
    <w:p>
      <w:pPr>
        <w:spacing w:after="0"/>
        <w:ind w:left="0"/>
        <w:jc w:val="both"/>
      </w:pPr>
      <w:r>
        <w:rPr>
          <w:rFonts w:ascii="Times New Roman"/>
          <w:b w:val="false"/>
          <w:i w:val="false"/>
          <w:color w:val="000000"/>
          <w:sz w:val="28"/>
        </w:rPr>
        <w:t>
      Лицензия және (немесе) лицензияға қосымшаны беруден бас тарту үшін негіздер айқындалған кезде көрсетілетін қызметті берушінің жауапты жұмыскері көрсетілетін қызметті алушыны лицензия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өткізілетін уақыт пен орын (тәсіл)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не оның міндетін атқарушы адамның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Рұқсаттар және хабарламалар туралы заңның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пестицидтерді өндіруге (формуляциялауға), пестицидтерді өткізуге, пестицидтерді аэрозольдық және фумигациялық тәсілдермен қолдануға байланысты қызметті жүзеге асыруға лицензия және (немесе) лицензияға қосымша:</w:t>
      </w:r>
    </w:p>
    <w:p>
      <w:pPr>
        <w:spacing w:after="0"/>
        <w:ind w:left="0"/>
        <w:jc w:val="both"/>
      </w:pPr>
      <w:r>
        <w:rPr>
          <w:rFonts w:ascii="Times New Roman"/>
          <w:b w:val="false"/>
          <w:i w:val="false"/>
          <w:color w:val="000000"/>
          <w:sz w:val="28"/>
        </w:rPr>
        <w:t>
      1) жеке немесе заңды тұлғаның не шетелдік заңды тұлға филиалының немесе өкілдігінің тіркелген орны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қызметін жүзеге асыратын орны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2 (екі) жұмыс күні ішінде ұсынылған құжаттардың толықтығын және (немесе) тиісінше ресімделуін тексереді.</w:t>
      </w:r>
    </w:p>
    <w:bookmarkEnd w:id="5"/>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қайта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"18. Көрсетілетін қызметті беруші Тізбенің 9-тармағында көрсетілген негіздер бойынша мемлекеттік қызметті көрсетуден бас тартады.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 және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мерзімдерде қаралуы тиіс.</w:t>
      </w:r>
    </w:p>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0" w:id="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bookmarkStart w:name="z2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22"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2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315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 xml:space="preserve">тәсілдермен қолдануға </w:t>
            </w:r>
            <w:r>
              <w:br/>
            </w:r>
            <w:r>
              <w:rPr>
                <w:rFonts w:ascii="Times New Roman"/>
                <w:b w:val="false"/>
                <w:i w:val="false"/>
                <w:color w:val="000000"/>
                <w:sz w:val="20"/>
              </w:rPr>
              <w:t xml:space="preserve">байланысты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27" w:id="12"/>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үшін, оның ішінде заңды тұлға-лицензиатты бөлініп шығу және бөлу нысандарында қайта ұйымдастырған жағдайда лицензияны және (немесе) лицензияға қосымшаны қайта ресімдеу кезінде – 11 (он бір) жұмыс күні;</w:t>
            </w:r>
          </w:p>
          <w:p>
            <w:pPr>
              <w:spacing w:after="20"/>
              <w:ind w:left="20"/>
              <w:jc w:val="both"/>
            </w:pPr>
            <w:r>
              <w:rPr>
                <w:rFonts w:ascii="Times New Roman"/>
                <w:b w:val="false"/>
                <w:i w:val="false"/>
                <w:color w:val="000000"/>
                <w:sz w:val="20"/>
              </w:rPr>
              <w:t>
2) заңды тұлға-лицензиатты бөлініп шығу және бөлу нысандарында қайта ұйымдастырған жағдайда лицензияны және (немесе) лицензияға қосымшаны қайта ресімдеуді қоспағанда, лицензияны және (немесе) лицензияға қосымшаны қайта ресімдеу үшін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2) лицензияларды қайта ресімдегені үшін – лицензия беру кезіндегі мөлшерлеменің 10 пайызын құрайтын лицензиялық алым төленеді.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Лицензияға қосымшаларды беру кезінде лицензиялық алым алынбайды.</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және (немесе) лицензияға қосымшалар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2) Қазақстан Республикасы Ауыл шаруашылығы министрінің 2014 жылғы 31 желтоқсандағы № 4-4/704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4) біліктілік талаптарына 1-қосымшаға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3-қосымшаға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жүргізілген жағдайда, көрсетілетін қызметті алушы лицензиялық алымды төлеу туралы түбіртектің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осы санаты үшiн Қазақстан Республикасының заңдарында қызмет түрiмен айналысуға тыйым салынуы;</w:t>
            </w:r>
          </w:p>
          <w:p>
            <w:pPr>
              <w:spacing w:after="20"/>
              <w:ind w:left="20"/>
              <w:jc w:val="both"/>
            </w:pPr>
            <w:r>
              <w:rPr>
                <w:rFonts w:ascii="Times New Roman"/>
                <w:b w:val="false"/>
                <w:i w:val="false"/>
                <w:color w:val="000000"/>
                <w:sz w:val="20"/>
              </w:rPr>
              <w:t>
2) лицензиялық алымды енгізілмеуі;</w:t>
            </w:r>
          </w:p>
          <w:p>
            <w:pPr>
              <w:spacing w:after="20"/>
              <w:ind w:left="20"/>
              <w:jc w:val="both"/>
            </w:pPr>
            <w:r>
              <w:rPr>
                <w:rFonts w:ascii="Times New Roman"/>
                <w:b w:val="false"/>
                <w:i w:val="false"/>
                <w:color w:val="000000"/>
                <w:sz w:val="20"/>
              </w:rPr>
              <w:t>
3) көрсетілетін қызметті алушының бiлiктiлiк талаптарына сәйкес келмеуі;</w:t>
            </w:r>
          </w:p>
          <w:p>
            <w:pPr>
              <w:spacing w:after="20"/>
              <w:ind w:left="20"/>
              <w:jc w:val="both"/>
            </w:pPr>
            <w:r>
              <w:rPr>
                <w:rFonts w:ascii="Times New Roman"/>
                <w:b w:val="false"/>
                <w:i w:val="false"/>
                <w:color w:val="000000"/>
                <w:sz w:val="20"/>
              </w:rPr>
              <w:t>
4) көрсетілетін қызметті беруші тиісті келісім беретін мемлекеттік органнан көрсетілетін қызметті алушы лицензия беру кезінде қойылатын талаптарға сәйкес келмеуі туралы жауапты алуы;</w:t>
            </w:r>
          </w:p>
          <w:p>
            <w:pPr>
              <w:spacing w:after="20"/>
              <w:ind w:left="20"/>
              <w:jc w:val="both"/>
            </w:pPr>
            <w:r>
              <w:rPr>
                <w:rFonts w:ascii="Times New Roman"/>
                <w:b w:val="false"/>
                <w:i w:val="false"/>
                <w:color w:val="000000"/>
                <w:sz w:val="20"/>
              </w:rPr>
              <w:t>
5) көрсетілетін қызметті алушыға қатысты пестицидтерді өндіру (формуляциялау), пестицидтерді өткізу, пестицидтерді аэрозольдік және фумигациялық тәсілдермен қолдануға тыйым салатын заңды күшiне енген сот шешімінің (үкiмiнiң) бар болуы;</w:t>
            </w:r>
          </w:p>
          <w:p>
            <w:pPr>
              <w:spacing w:after="20"/>
              <w:ind w:left="20"/>
              <w:jc w:val="both"/>
            </w:pPr>
            <w:r>
              <w:rPr>
                <w:rFonts w:ascii="Times New Roman"/>
                <w:b w:val="false"/>
                <w:i w:val="false"/>
                <w:color w:val="000000"/>
                <w:sz w:val="20"/>
              </w:rPr>
              <w:t>
6) сот орындаушысы ұсынымының негiзiнде соттың көрсетілетін қызметті алушыға борышкерге лицензияны беруге уақытша тыйым салуы;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ресімдемеу негіз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ұсынбауы немесе тиісінше ресімдемеуі;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 қызметінің байланыс телефоны 8 (7172) 55-59-61,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9" w:id="13"/>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13"/>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1" w:id="14"/>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14"/>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 сәйкестендіру нөмірі, заңды тұлғаның бизнес сәйкестендіру</w:t>
      </w:r>
    </w:p>
    <w:p>
      <w:pPr>
        <w:spacing w:after="0"/>
        <w:ind w:left="0"/>
        <w:jc w:val="both"/>
      </w:pPr>
      <w:r>
        <w:rPr>
          <w:rFonts w:ascii="Times New Roman"/>
          <w:b w:val="false"/>
          <w:i w:val="false"/>
          <w:color w:val="000000"/>
          <w:sz w:val="28"/>
        </w:rPr>
        <w:t>
      нөмірі болмаған жағдайда, шетелдік заңды тұлға филиалының немесе</w:t>
      </w:r>
    </w:p>
    <w:p>
      <w:pPr>
        <w:spacing w:after="0"/>
        <w:ind w:left="0"/>
        <w:jc w:val="both"/>
      </w:pPr>
      <w:r>
        <w:rPr>
          <w:rFonts w:ascii="Times New Roman"/>
          <w:b w:val="false"/>
          <w:i w:val="false"/>
          <w:color w:val="000000"/>
          <w:sz w:val="28"/>
        </w:rPr>
        <w:t>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Осымен мен ұсынатын (толтырылған) ақпараттың дұрыстығы үшін Қазақстан Республикасының заңнамасына сәйкес жауапты екенімді растаймын.</w:t>
      </w:r>
    </w:p>
    <w:p>
      <w:pPr>
        <w:spacing w:after="0"/>
        <w:ind w:left="0"/>
        <w:jc w:val="both"/>
      </w:pPr>
      <w:r>
        <w:rPr>
          <w:rFonts w:ascii="Times New Roman"/>
          <w:b w:val="false"/>
          <w:i w:val="false"/>
          <w:color w:val="000000"/>
          <w:sz w:val="28"/>
        </w:rPr>
        <w:t xml:space="preserve">
      Басшы _________________________ 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3" w:id="15"/>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15"/>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арналған</w:t>
      </w:r>
    </w:p>
    <w:p>
      <w:pPr>
        <w:spacing w:after="0"/>
        <w:ind w:left="0"/>
        <w:jc w:val="both"/>
      </w:pPr>
      <w:r>
        <w:rPr>
          <w:rFonts w:ascii="Times New Roman"/>
          <w:b w:val="false"/>
          <w:i w:val="false"/>
          <w:color w:val="000000"/>
          <w:sz w:val="28"/>
        </w:rPr>
        <w:t>
      20___жылғы ___ _________ берілген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лицензиярдың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мынадай 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жеке тұлға-лицензиаттың аты, әкесінің аты (бар болса), тегінің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________________________________________</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_____________________________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5" w:id="16"/>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bookmarkEnd w:id="16"/>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орналасқан жері, бизнес 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шетелдік заңды тұлға филиалының</w:t>
      </w:r>
    </w:p>
    <w:p>
      <w:pPr>
        <w:spacing w:after="0"/>
        <w:ind w:left="0"/>
        <w:jc w:val="both"/>
      </w:pPr>
      <w:r>
        <w:rPr>
          <w:rFonts w:ascii="Times New Roman"/>
          <w:b w:val="false"/>
          <w:i w:val="false"/>
          <w:color w:val="000000"/>
          <w:sz w:val="28"/>
        </w:rPr>
        <w:t>
      немесе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 жүзеге асыруға арналған</w:t>
      </w:r>
    </w:p>
    <w:p>
      <w:pPr>
        <w:spacing w:after="0"/>
        <w:ind w:left="0"/>
        <w:jc w:val="both"/>
      </w:pPr>
      <w:r>
        <w:rPr>
          <w:rFonts w:ascii="Times New Roman"/>
          <w:b w:val="false"/>
          <w:i w:val="false"/>
          <w:color w:val="000000"/>
          <w:sz w:val="28"/>
        </w:rPr>
        <w:t>
      20___ жылғы "___" _________ берілген №__________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лицензиярдың</w:t>
      </w:r>
    </w:p>
    <w:p>
      <w:pPr>
        <w:spacing w:after="0"/>
        <w:ind w:left="0"/>
        <w:jc w:val="both"/>
      </w:pPr>
      <w:r>
        <w:rPr>
          <w:rFonts w:ascii="Times New Roman"/>
          <w:b w:val="false"/>
          <w:i w:val="false"/>
          <w:color w:val="000000"/>
          <w:sz w:val="28"/>
        </w:rPr>
        <w:t>
      атауы) лицензияны және (немесе) лицензияға қосымшаны(ларды) (керегінің астын</w:t>
      </w:r>
    </w:p>
    <w:p>
      <w:pPr>
        <w:spacing w:after="0"/>
        <w:ind w:left="0"/>
        <w:jc w:val="both"/>
      </w:pPr>
      <w:r>
        <w:rPr>
          <w:rFonts w:ascii="Times New Roman"/>
          <w:b w:val="false"/>
          <w:i w:val="false"/>
          <w:color w:val="000000"/>
          <w:sz w:val="28"/>
        </w:rPr>
        <w:t>
      сызу) мынадай негіз (дер) бойынша (тиісті ұяшықта Х көрсетіңіз) қайта ресімдеуді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(бұдан әрі – Заң) 34-бабында айқындалған тәртіпке сәйкес заңды тұлға-лицензиатты (тиісті ұяшықта Х</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бірігу _______________ </w:t>
      </w:r>
    </w:p>
    <w:p>
      <w:pPr>
        <w:spacing w:after="0"/>
        <w:ind w:left="0"/>
        <w:jc w:val="both"/>
      </w:pPr>
      <w:r>
        <w:rPr>
          <w:rFonts w:ascii="Times New Roman"/>
          <w:b w:val="false"/>
          <w:i w:val="false"/>
          <w:color w:val="000000"/>
          <w:sz w:val="28"/>
        </w:rPr>
        <w:t xml:space="preserve">
      қайта құру ___________ </w:t>
      </w:r>
    </w:p>
    <w:p>
      <w:pPr>
        <w:spacing w:after="0"/>
        <w:ind w:left="0"/>
        <w:jc w:val="both"/>
      </w:pPr>
      <w:r>
        <w:rPr>
          <w:rFonts w:ascii="Times New Roman"/>
          <w:b w:val="false"/>
          <w:i w:val="false"/>
          <w:color w:val="000000"/>
          <w:sz w:val="28"/>
        </w:rPr>
        <w:t xml:space="preserve">
      қосылу ______________ </w:t>
      </w:r>
    </w:p>
    <w:p>
      <w:pPr>
        <w:spacing w:after="0"/>
        <w:ind w:left="0"/>
        <w:jc w:val="both"/>
      </w:pPr>
      <w:r>
        <w:rPr>
          <w:rFonts w:ascii="Times New Roman"/>
          <w:b w:val="false"/>
          <w:i w:val="false"/>
          <w:color w:val="000000"/>
          <w:sz w:val="28"/>
        </w:rPr>
        <w:t xml:space="preserve">
      бөліп шығару ________ </w:t>
      </w:r>
    </w:p>
    <w:p>
      <w:pPr>
        <w:spacing w:after="0"/>
        <w:ind w:left="0"/>
        <w:jc w:val="both"/>
      </w:pPr>
      <w:r>
        <w:rPr>
          <w:rFonts w:ascii="Times New Roman"/>
          <w:b w:val="false"/>
          <w:i w:val="false"/>
          <w:color w:val="000000"/>
          <w:sz w:val="28"/>
        </w:rPr>
        <w:t>
      бөліну _____________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 –шетелдік заңды тұлға үшін, почталық индексі, облыс, қала, аудан, елді мекен, көше</w:t>
      </w:r>
    </w:p>
    <w:p>
      <w:pPr>
        <w:spacing w:after="0"/>
        <w:ind w:left="0"/>
        <w:jc w:val="both"/>
      </w:pPr>
      <w:r>
        <w:rPr>
          <w:rFonts w:ascii="Times New Roman"/>
          <w:b w:val="false"/>
          <w:i w:val="false"/>
          <w:color w:val="000000"/>
          <w:sz w:val="28"/>
        </w:rPr>
        <w:t>
      атауы, үйдің/ 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____________________________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